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88CE6" w14:textId="77777777" w:rsidR="00D5082B" w:rsidRPr="00DB179D" w:rsidRDefault="00D5082B" w:rsidP="00D5082B">
      <w:pPr>
        <w:jc w:val="center"/>
        <w:rPr>
          <w:b/>
        </w:rPr>
      </w:pPr>
      <w:r w:rsidRPr="00DB179D">
        <w:rPr>
          <w:b/>
        </w:rPr>
        <w:t xml:space="preserve">VISAGINO SAVIVALDYBĖS </w:t>
      </w:r>
      <w:r w:rsidR="0027218A" w:rsidRPr="00DB179D">
        <w:rPr>
          <w:b/>
        </w:rPr>
        <w:t>20</w:t>
      </w:r>
      <w:r w:rsidR="00BC3789">
        <w:rPr>
          <w:b/>
        </w:rPr>
        <w:t>20</w:t>
      </w:r>
      <w:r w:rsidR="00487A31">
        <w:rPr>
          <w:b/>
        </w:rPr>
        <w:t xml:space="preserve"> </w:t>
      </w:r>
      <w:r w:rsidR="0027218A" w:rsidRPr="00DB179D">
        <w:rPr>
          <w:b/>
        </w:rPr>
        <w:t>METŲ BIUDŽETO PROJEKTAS</w:t>
      </w:r>
    </w:p>
    <w:p w14:paraId="29D24B38" w14:textId="77777777" w:rsidR="00D5082B" w:rsidRPr="00DB179D" w:rsidRDefault="00D5082B" w:rsidP="00D5082B">
      <w:pPr>
        <w:jc w:val="center"/>
        <w:rPr>
          <w:b/>
        </w:rPr>
      </w:pPr>
    </w:p>
    <w:p w14:paraId="039C59F8" w14:textId="77777777" w:rsidR="009C741E" w:rsidRPr="00DB179D" w:rsidRDefault="009C741E" w:rsidP="00D5082B">
      <w:pPr>
        <w:jc w:val="center"/>
      </w:pPr>
    </w:p>
    <w:p w14:paraId="20344288" w14:textId="6FFFB9FA" w:rsidR="00D5082B" w:rsidRPr="00EF126A" w:rsidRDefault="00D5082B" w:rsidP="00FD2603">
      <w:pPr>
        <w:jc w:val="both"/>
      </w:pPr>
      <w:r w:rsidRPr="00DB179D">
        <w:tab/>
      </w:r>
      <w:bookmarkStart w:id="0" w:name="_Hlk31100294"/>
      <w:r w:rsidRPr="00EF126A">
        <w:t xml:space="preserve">Visagino savivaldybės </w:t>
      </w:r>
      <w:r w:rsidR="0000350E" w:rsidRPr="00EF126A">
        <w:t xml:space="preserve">(toliau – Savivaldybė) </w:t>
      </w:r>
      <w:r w:rsidRPr="00EF126A">
        <w:t>20</w:t>
      </w:r>
      <w:r w:rsidR="004A66DE">
        <w:t>20</w:t>
      </w:r>
      <w:r w:rsidRPr="00EF126A">
        <w:t xml:space="preserve"> metų biudžeto projektas parengtas vadovaujantis Lietuvos Respublikos 20</w:t>
      </w:r>
      <w:r w:rsidR="004A66DE">
        <w:t>20</w:t>
      </w:r>
      <w:r w:rsidRPr="00EF126A">
        <w:t xml:space="preserve"> metų valstybės biudžeto ir savivaldybių biudžetų finansinių rodiklių patvirtinimo įstatymu, </w:t>
      </w:r>
      <w:r w:rsidR="00D63D35" w:rsidRPr="00385D90">
        <w:rPr>
          <w:kern w:val="24"/>
        </w:rPr>
        <w:t xml:space="preserve">Mokymo lėšų </w:t>
      </w:r>
      <w:r w:rsidR="004B0AD3">
        <w:rPr>
          <w:kern w:val="24"/>
        </w:rPr>
        <w:t>ap</w:t>
      </w:r>
      <w:r w:rsidR="00FB6C93" w:rsidRPr="00385D90">
        <w:rPr>
          <w:kern w:val="24"/>
        </w:rPr>
        <w:t xml:space="preserve">skaičiavimo, </w:t>
      </w:r>
      <w:r w:rsidR="00D63D35" w:rsidRPr="00385D90">
        <w:rPr>
          <w:kern w:val="24"/>
        </w:rPr>
        <w:t>paskirstymo</w:t>
      </w:r>
      <w:r w:rsidR="00FB6C93" w:rsidRPr="00385D90">
        <w:rPr>
          <w:kern w:val="24"/>
        </w:rPr>
        <w:t xml:space="preserve"> ir pa</w:t>
      </w:r>
      <w:r w:rsidR="00D63D35" w:rsidRPr="00385D90">
        <w:rPr>
          <w:kern w:val="24"/>
        </w:rPr>
        <w:t>naudojimo tvarkos apraš</w:t>
      </w:r>
      <w:r w:rsidR="0000350E" w:rsidRPr="00385D90">
        <w:rPr>
          <w:kern w:val="24"/>
        </w:rPr>
        <w:t>u</w:t>
      </w:r>
      <w:r w:rsidR="00D63D35" w:rsidRPr="00385D90">
        <w:rPr>
          <w:kern w:val="24"/>
        </w:rPr>
        <w:t xml:space="preserve">, </w:t>
      </w:r>
      <w:r w:rsidRPr="00385D90">
        <w:t xml:space="preserve">Visagino savivaldybės tarybos sprendimais, </w:t>
      </w:r>
      <w:r w:rsidR="004C4733" w:rsidRPr="00385D90">
        <w:t>valstybės institucijų įsakymais dėl valstybės biudžeto tikslinių dotacijų paskirstymo savivaldybėms</w:t>
      </w:r>
      <w:r w:rsidR="00577F41">
        <w:t xml:space="preserve"> bei atsižvelgiant į</w:t>
      </w:r>
      <w:r w:rsidR="00FD2603" w:rsidRPr="00385D90">
        <w:t xml:space="preserve"> </w:t>
      </w:r>
      <w:r w:rsidR="00577F41" w:rsidRPr="00EF126A">
        <w:t>Visagino savivaldybės 20</w:t>
      </w:r>
      <w:r w:rsidR="00577F41">
        <w:t>20</w:t>
      </w:r>
      <w:r w:rsidR="00577F41" w:rsidRPr="00EF126A">
        <w:t>–202</w:t>
      </w:r>
      <w:r w:rsidR="00577F41">
        <w:t>2</w:t>
      </w:r>
      <w:r w:rsidR="00577F41" w:rsidRPr="00EF126A">
        <w:t xml:space="preserve"> metų strateginio veiklos plano </w:t>
      </w:r>
      <w:r w:rsidR="00577F41" w:rsidRPr="004116D3">
        <w:t>projekt</w:t>
      </w:r>
      <w:r w:rsidR="00577F41">
        <w:t>ą</w:t>
      </w:r>
      <w:r w:rsidR="00577F41" w:rsidRPr="00EF126A">
        <w:t>,</w:t>
      </w:r>
      <w:r w:rsidR="00577F41">
        <w:t xml:space="preserve"> </w:t>
      </w:r>
      <w:r w:rsidR="0000350E" w:rsidRPr="00385D90">
        <w:t>S</w:t>
      </w:r>
      <w:r w:rsidR="004C4733" w:rsidRPr="00385D90">
        <w:t>avivaldyb</w:t>
      </w:r>
      <w:r w:rsidR="0000350E" w:rsidRPr="00385D90">
        <w:t>ei</w:t>
      </w:r>
      <w:r w:rsidR="004C4733" w:rsidRPr="00385D90">
        <w:t xml:space="preserve"> pavaldžių</w:t>
      </w:r>
      <w:r w:rsidR="00FD2603" w:rsidRPr="00385D90">
        <w:t xml:space="preserve"> biudžetinių įstaigų </w:t>
      </w:r>
      <w:r w:rsidR="00D63D35" w:rsidRPr="00385D90">
        <w:t>pajamų už teikiamas paslaugas prognoz</w:t>
      </w:r>
      <w:r w:rsidR="00577F41">
        <w:t>es</w:t>
      </w:r>
      <w:r w:rsidR="004C4733" w:rsidRPr="00385D90">
        <w:t xml:space="preserve"> </w:t>
      </w:r>
      <w:r w:rsidR="00FD2603" w:rsidRPr="00385D90">
        <w:t>ir Savivaldybės administracijos skyrių pateiktas duomenis apie planuojamas gauti pajamas</w:t>
      </w:r>
      <w:r w:rsidR="00827A34" w:rsidRPr="00385D90">
        <w:t>, Savivaldybės</w:t>
      </w:r>
      <w:r w:rsidR="00DB179D" w:rsidRPr="00385D90">
        <w:t xml:space="preserve"> biudžeto asignavimų valdytojų </w:t>
      </w:r>
      <w:r w:rsidR="00827A34" w:rsidRPr="00385D90">
        <w:t>kasin</w:t>
      </w:r>
      <w:r w:rsidR="00136C88" w:rsidRPr="00385D90">
        <w:t>e</w:t>
      </w:r>
      <w:r w:rsidR="00827A34" w:rsidRPr="00385D90">
        <w:t>s ir faktin</w:t>
      </w:r>
      <w:r w:rsidR="00136C88" w:rsidRPr="00385D90">
        <w:t>e</w:t>
      </w:r>
      <w:r w:rsidR="00827A34" w:rsidRPr="00385D90">
        <w:t>s išlaidas, kreditinius įsiskolinimus</w:t>
      </w:r>
      <w:r w:rsidR="00FD2603" w:rsidRPr="00385D90">
        <w:t>.</w:t>
      </w:r>
    </w:p>
    <w:p w14:paraId="0FE9212B" w14:textId="77777777" w:rsidR="002D5776" w:rsidRPr="00EF126A" w:rsidRDefault="00D63D35" w:rsidP="00E44266">
      <w:pPr>
        <w:ind w:firstLine="1296"/>
        <w:jc w:val="both"/>
      </w:pPr>
      <w:r w:rsidRPr="00EF126A">
        <w:t>Lietuvos Respublikos 20</w:t>
      </w:r>
      <w:r w:rsidR="004A66DE">
        <w:t>20</w:t>
      </w:r>
      <w:r w:rsidRPr="00EF126A">
        <w:t xml:space="preserve"> metų valstybės biudžeto ir savivaldybių biudžetų finansinių rodiklių patvirtinimo įstatymu patvirtinta gyventojų pajamų mokesčio </w:t>
      </w:r>
      <w:bookmarkStart w:id="1" w:name="_Hlk178162"/>
      <w:r w:rsidRPr="00EF126A">
        <w:t>dalis (procentais), tenkanti visų savivaldybių biudžetams nuo šio mokesčio pajamų į konsoliduotus valstybės biudžetą ir savivaldybių biudžetus,</w:t>
      </w:r>
      <w:bookmarkEnd w:id="1"/>
      <w:r w:rsidRPr="00EF126A">
        <w:t xml:space="preserve"> – 46,</w:t>
      </w:r>
      <w:r w:rsidR="004A66DE">
        <w:t>21</w:t>
      </w:r>
      <w:r w:rsidRPr="00EF126A">
        <w:t xml:space="preserve"> procento, kurią sudaro pastovioji dalis – 42,</w:t>
      </w:r>
      <w:r w:rsidR="004A66DE">
        <w:t>84</w:t>
      </w:r>
      <w:r w:rsidRPr="00EF126A">
        <w:t xml:space="preserve"> procento, kintamoji dalis – </w:t>
      </w:r>
      <w:r w:rsidR="004A66DE">
        <w:t>3</w:t>
      </w:r>
      <w:r w:rsidRPr="00EF126A">
        <w:t>,10 procento, bei savivaldybių biudžetų finansinis rodiklis – prognozuojamos pajamos, kuriuo savivaldybės privalo vadovautis rengdamos savo biudžetus (įstatymo 6 priedas).</w:t>
      </w:r>
    </w:p>
    <w:p w14:paraId="7DAA2637" w14:textId="77777777" w:rsidR="00856969" w:rsidRPr="00EF126A" w:rsidRDefault="00856969" w:rsidP="00E44266">
      <w:pPr>
        <w:ind w:firstLine="1296"/>
        <w:jc w:val="both"/>
      </w:pPr>
    </w:p>
    <w:p w14:paraId="038903A5" w14:textId="77777777" w:rsidR="00856969" w:rsidRPr="00B94EBC" w:rsidRDefault="00FB6C93" w:rsidP="00856969">
      <w:pPr>
        <w:jc w:val="center"/>
        <w:rPr>
          <w:b/>
          <w:color w:val="2F5496"/>
        </w:rPr>
      </w:pPr>
      <w:r w:rsidRPr="00B94EBC">
        <w:rPr>
          <w:b/>
          <w:color w:val="2F5496"/>
        </w:rPr>
        <w:t>Patvirtinta 201</w:t>
      </w:r>
      <w:r w:rsidR="004A66DE">
        <w:rPr>
          <w:b/>
          <w:color w:val="2F5496"/>
        </w:rPr>
        <w:t>7</w:t>
      </w:r>
      <w:r w:rsidRPr="00B94EBC">
        <w:rPr>
          <w:b/>
          <w:color w:val="2F5496"/>
        </w:rPr>
        <w:t>-20</w:t>
      </w:r>
      <w:r w:rsidR="004A66DE">
        <w:rPr>
          <w:b/>
          <w:color w:val="2F5496"/>
        </w:rPr>
        <w:t>20</w:t>
      </w:r>
      <w:r w:rsidRPr="00B94EBC">
        <w:rPr>
          <w:b/>
          <w:color w:val="2F5496"/>
        </w:rPr>
        <w:t xml:space="preserve"> m. gyventojų pajamų mokesčio dalis (procentais),</w:t>
      </w:r>
    </w:p>
    <w:p w14:paraId="3A5D8791" w14:textId="77777777" w:rsidR="00FB6C93" w:rsidRPr="00B94EBC" w:rsidRDefault="00FB6C93" w:rsidP="00856969">
      <w:pPr>
        <w:jc w:val="center"/>
        <w:rPr>
          <w:b/>
          <w:color w:val="2F5496"/>
        </w:rPr>
      </w:pPr>
      <w:r w:rsidRPr="00B94EBC">
        <w:rPr>
          <w:b/>
          <w:color w:val="2F5496"/>
        </w:rPr>
        <w:t xml:space="preserve"> tenkanti visų savivaldybių biudžetams</w:t>
      </w:r>
    </w:p>
    <w:p w14:paraId="3126891D" w14:textId="4201ECC3" w:rsidR="000B6D77" w:rsidRDefault="004116D3" w:rsidP="00856969">
      <w:pPr>
        <w:ind w:firstLine="1296"/>
        <w:jc w:val="both"/>
      </w:pPr>
      <w:r w:rsidRPr="00A43241">
        <w:rPr>
          <w:noProof/>
        </w:rPr>
        <w:drawing>
          <wp:inline distT="0" distB="0" distL="0" distR="0" wp14:anchorId="220F2014" wp14:editId="752C5D3D">
            <wp:extent cx="4693920" cy="2834640"/>
            <wp:effectExtent l="0" t="0" r="0" b="0"/>
            <wp:docPr id="1" name="Diagra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66E34B" w14:textId="77777777" w:rsidR="00EF126A" w:rsidRDefault="00EF126A" w:rsidP="00E02781">
      <w:pPr>
        <w:pStyle w:val="Pagrindiniotekstotrauka"/>
        <w:ind w:firstLine="709"/>
        <w:rPr>
          <w:color w:val="000000"/>
        </w:rPr>
      </w:pPr>
    </w:p>
    <w:p w14:paraId="3C2A9235" w14:textId="77777777" w:rsidR="00E02781" w:rsidRDefault="00E02781" w:rsidP="00E02781">
      <w:pPr>
        <w:pStyle w:val="Pagrindiniotekstotrauka"/>
        <w:ind w:firstLine="709"/>
        <w:rPr>
          <w:lang w:val="lt-LT"/>
        </w:rPr>
      </w:pPr>
      <w:r w:rsidRPr="009F605E">
        <w:rPr>
          <w:color w:val="000000"/>
        </w:rPr>
        <w:t>20</w:t>
      </w:r>
      <w:r w:rsidR="004A66DE">
        <w:rPr>
          <w:color w:val="000000"/>
          <w:lang w:val="en-US"/>
        </w:rPr>
        <w:t>20</w:t>
      </w:r>
      <w:r w:rsidRPr="009F605E">
        <w:rPr>
          <w:color w:val="000000"/>
        </w:rPr>
        <w:t xml:space="preserve"> m. GPM dal</w:t>
      </w:r>
      <w:r w:rsidR="0000350E">
        <w:rPr>
          <w:color w:val="000000"/>
          <w:lang w:val="lt-LT"/>
        </w:rPr>
        <w:t>ies</w:t>
      </w:r>
      <w:r w:rsidRPr="009F605E">
        <w:rPr>
          <w:color w:val="000000"/>
        </w:rPr>
        <w:t xml:space="preserve"> (procentais) </w:t>
      </w:r>
      <w:r>
        <w:rPr>
          <w:color w:val="000000"/>
          <w:lang w:val="lt-LT"/>
        </w:rPr>
        <w:t>mažinimą</w:t>
      </w:r>
      <w:r w:rsidRPr="00C0688D">
        <w:t xml:space="preserve"> </w:t>
      </w:r>
      <w:r w:rsidR="004A66DE">
        <w:rPr>
          <w:lang w:val="lt-LT"/>
        </w:rPr>
        <w:t>0.67</w:t>
      </w:r>
      <w:r w:rsidRPr="00C0688D">
        <w:t xml:space="preserve"> procentinio punkto </w:t>
      </w:r>
      <w:r w:rsidR="0000350E">
        <w:rPr>
          <w:lang w:val="lt-LT"/>
        </w:rPr>
        <w:t>lemia</w:t>
      </w:r>
      <w:r>
        <w:rPr>
          <w:lang w:val="lt-LT"/>
        </w:rPr>
        <w:t xml:space="preserve"> </w:t>
      </w:r>
      <w:bookmarkStart w:id="2" w:name="_Hlk170179"/>
      <w:r w:rsidR="004A66DE">
        <w:rPr>
          <w:lang w:val="lt-LT"/>
        </w:rPr>
        <w:t>2020</w:t>
      </w:r>
      <w:r>
        <w:rPr>
          <w:lang w:val="lt-LT"/>
        </w:rPr>
        <w:t xml:space="preserve"> m. </w:t>
      </w:r>
      <w:bookmarkEnd w:id="2"/>
      <w:r w:rsidR="00E86B27">
        <w:rPr>
          <w:lang w:val="lt-LT"/>
        </w:rPr>
        <w:t>apskaičiuotos kintamosios dalies mažėjimas</w:t>
      </w:r>
      <w:r w:rsidR="00907358">
        <w:rPr>
          <w:lang w:val="lt-LT"/>
        </w:rPr>
        <w:t>.</w:t>
      </w:r>
      <w:r w:rsidR="003C65F6" w:rsidRPr="0000350E">
        <w:rPr>
          <w:lang w:val="lt-LT"/>
        </w:rPr>
        <w:t xml:space="preserve"> </w:t>
      </w:r>
      <w:r w:rsidR="00907358" w:rsidRPr="00907358">
        <w:t>Pajamos iš GPM 2020 metais buvo prognozuojamos atsižvelgiant į 2019 metais numatomas gauti GPM pajamas, į įplaukų iš GPM santykio su darbo užmokesčio fondu dinamiką bei į prognozuojamą metinį darbo užmokesčio fondo augimo rodiklį, kartu įvertinant neapmokestinamojo pajamų dydžio (toliau – NPD) didinimo, minimaliosios mėnesinės algos didinimo, šiuo metu galiojančio 1,3 koeficiento, kuris taikomas apskaičiuojant darbo užmokesčio ribą, nuo kurios darbuotojui gali būti mokama neapmokestinamųjų dienpinigių suma, didinimo iki 1,65 ir administravimo gerinimo priemonių įtaką pajamoms. 2020 metų biudžeto projekte įvertinta, kad dėl pagrindinio NPD ir individualių NPD riboto darbingumo asmenims dydžių pakeitimo valstybės ir savivaldybių biudžetai 2020 metais neteks apie 117 mln. eurų pajamų iš GPM.</w:t>
      </w:r>
      <w:r w:rsidR="00907358" w:rsidRPr="00907358">
        <w:rPr>
          <w:lang w:val="lt-LT"/>
        </w:rPr>
        <w:t xml:space="preserve"> </w:t>
      </w:r>
    </w:p>
    <w:p w14:paraId="4837CC8D" w14:textId="77777777" w:rsidR="00907358" w:rsidRPr="002D54B4" w:rsidRDefault="00907358" w:rsidP="00E02781">
      <w:pPr>
        <w:pStyle w:val="Pagrindiniotekstotrauka"/>
        <w:ind w:firstLine="709"/>
      </w:pPr>
      <w:r w:rsidRPr="002D54B4">
        <w:t xml:space="preserve">Kintamoji GPM (procentais) dalis skiriama: </w:t>
      </w:r>
    </w:p>
    <w:p w14:paraId="1FAF1A23" w14:textId="77777777" w:rsidR="008679C3" w:rsidRPr="002D54B4" w:rsidRDefault="00907358" w:rsidP="00E02781">
      <w:pPr>
        <w:pStyle w:val="Pagrindiniotekstotrauka"/>
        <w:ind w:firstLine="709"/>
      </w:pPr>
      <w:r w:rsidRPr="002D54B4">
        <w:t>1) 2018</w:t>
      </w:r>
      <w:r w:rsidR="004B0AD3" w:rsidRPr="002D54B4">
        <w:t>–</w:t>
      </w:r>
      <w:r w:rsidRPr="002D54B4">
        <w:t xml:space="preserve">2019 metų sumos kintamajai gyventojų pajamų mokesčio daliai (procentais) apskaičiuoti </w:t>
      </w:r>
      <w:bookmarkStart w:id="3" w:name="_Hlk31095961"/>
      <w:r w:rsidRPr="002D54B4">
        <w:t xml:space="preserve">– </w:t>
      </w:r>
      <w:bookmarkEnd w:id="3"/>
      <w:r w:rsidR="008679C3" w:rsidRPr="002D54B4">
        <w:rPr>
          <w:lang w:val="lt-LT"/>
        </w:rPr>
        <w:t xml:space="preserve">3264,0 </w:t>
      </w:r>
      <w:bookmarkStart w:id="4" w:name="_Hlk30890026"/>
      <w:r w:rsidR="008679C3" w:rsidRPr="002D54B4">
        <w:t>tūkst. Eur</w:t>
      </w:r>
      <w:bookmarkEnd w:id="4"/>
      <w:r w:rsidRPr="002D54B4">
        <w:t xml:space="preserve">; </w:t>
      </w:r>
    </w:p>
    <w:p w14:paraId="1B8A6D2F" w14:textId="77777777" w:rsidR="008679C3" w:rsidRPr="002D54B4" w:rsidRDefault="00907358" w:rsidP="00E02781">
      <w:pPr>
        <w:pStyle w:val="Pagrindiniotekstotrauka"/>
        <w:ind w:firstLine="709"/>
      </w:pPr>
      <w:r w:rsidRPr="002D54B4">
        <w:lastRenderedPageBreak/>
        <w:t>2) savivaldybių išlaidų pokyčiams kompensuoti dėl Seimo ir Vyriausybės priimtų sprendimų. 2020 meta</w:t>
      </w:r>
      <w:r w:rsidR="004B0AD3">
        <w:rPr>
          <w:lang w:val="lt-LT"/>
        </w:rPr>
        <w:t>i</w:t>
      </w:r>
      <w:r w:rsidRPr="002D54B4">
        <w:t xml:space="preserve">s savivaldybių išlaidų pokyčiai sudarys </w:t>
      </w:r>
      <w:r w:rsidR="008679C3" w:rsidRPr="002D54B4">
        <w:rPr>
          <w:lang w:val="lt-LT"/>
        </w:rPr>
        <w:t>402,0</w:t>
      </w:r>
      <w:r w:rsidRPr="002D54B4">
        <w:t xml:space="preserve"> </w:t>
      </w:r>
      <w:r w:rsidR="008679C3" w:rsidRPr="002D54B4">
        <w:t>tūkst. Eur</w:t>
      </w:r>
      <w:r w:rsidRPr="002D54B4">
        <w:t xml:space="preserve">: Lietuvos Respublikos valstybės ir savivaldybių įstaigų darbuotojų darbo apmokėjimo įstatymui laipsniškai įgyvendinti, minimaliajai mėnesinei algai padidinti, pareiginės algos (atlyginimo) baziniam dydžiui padidinti, mažiausiems koeficientams padidinti dirbantiems pagal darbo sutartis, kultūros darbuotojų darbo užmokesčiui padidinti ir kt.; </w:t>
      </w:r>
    </w:p>
    <w:p w14:paraId="288B6DF5" w14:textId="77777777" w:rsidR="008679C3" w:rsidRPr="002D54B4" w:rsidRDefault="00907358" w:rsidP="00E02781">
      <w:pPr>
        <w:pStyle w:val="Pagrindiniotekstotrauka"/>
        <w:ind w:firstLine="709"/>
      </w:pPr>
      <w:r w:rsidRPr="002D54B4">
        <w:t xml:space="preserve">3) savivaldybių biudžetų prognozuojamų pajamų mažėjimui, palyginti su 2019 metų prognozuojamomis pajamomis palyginamosiomis sąlygomis, kompensuoti </w:t>
      </w:r>
      <w:r w:rsidR="008679C3" w:rsidRPr="002D54B4">
        <w:rPr>
          <w:lang w:val="lt-LT"/>
        </w:rPr>
        <w:t>1019,0</w:t>
      </w:r>
      <w:r w:rsidR="008679C3" w:rsidRPr="002D54B4">
        <w:t xml:space="preserve"> </w:t>
      </w:r>
      <w:bookmarkStart w:id="5" w:name="_Hlk30890459"/>
      <w:r w:rsidR="008679C3" w:rsidRPr="002D54B4">
        <w:t>tūkst. Eur</w:t>
      </w:r>
      <w:bookmarkEnd w:id="5"/>
      <w:r w:rsidR="008679C3" w:rsidRPr="002D54B4">
        <w:t>;</w:t>
      </w:r>
    </w:p>
    <w:p w14:paraId="0806073B" w14:textId="77777777" w:rsidR="00907358" w:rsidRPr="002D54B4" w:rsidRDefault="008679C3" w:rsidP="00E02781">
      <w:pPr>
        <w:pStyle w:val="Pagrindiniotekstotrauka"/>
        <w:ind w:firstLine="709"/>
        <w:rPr>
          <w:lang w:val="lt-LT"/>
        </w:rPr>
      </w:pPr>
      <w:r w:rsidRPr="002D54B4">
        <w:rPr>
          <w:lang w:val="lt-LT"/>
        </w:rPr>
        <w:t xml:space="preserve">4) </w:t>
      </w:r>
      <w:r w:rsidRPr="002D54B4">
        <w:t>Pagal priimt</w:t>
      </w:r>
      <w:r w:rsidR="004B0AD3">
        <w:rPr>
          <w:lang w:val="lt-LT"/>
        </w:rPr>
        <w:t>ą</w:t>
      </w:r>
      <w:r w:rsidRPr="002D54B4">
        <w:t xml:space="preserve"> Savivaldybių biudžetų pajamų nustatymo metodikos įstatymo pakeitim</w:t>
      </w:r>
      <w:r w:rsidRPr="002D54B4">
        <w:rPr>
          <w:lang w:val="lt-LT"/>
        </w:rPr>
        <w:t>ą</w:t>
      </w:r>
      <w:r w:rsidRPr="002D54B4">
        <w:t xml:space="preserve"> savivaldybe</w:t>
      </w:r>
      <w:r w:rsidR="002D54B4" w:rsidRPr="002D54B4">
        <w:rPr>
          <w:lang w:val="lt-LT"/>
        </w:rPr>
        <w:t>i</w:t>
      </w:r>
      <w:r w:rsidRPr="002D54B4">
        <w:t xml:space="preserve"> </w:t>
      </w:r>
      <w:r w:rsidR="002D54B4" w:rsidRPr="002D54B4">
        <w:rPr>
          <w:lang w:val="lt-LT"/>
        </w:rPr>
        <w:t xml:space="preserve">skirta 115,0 </w:t>
      </w:r>
      <w:r w:rsidR="002D54B4" w:rsidRPr="002D54B4">
        <w:t xml:space="preserve">tūkst. Eur </w:t>
      </w:r>
      <w:r w:rsidRPr="002D54B4">
        <w:t>verslo plėtr</w:t>
      </w:r>
      <w:r w:rsidR="002D54B4" w:rsidRPr="002D54B4">
        <w:rPr>
          <w:lang w:val="lt-LT"/>
        </w:rPr>
        <w:t>os sąlygoms</w:t>
      </w:r>
      <w:r w:rsidRPr="002D54B4">
        <w:t xml:space="preserve"> </w:t>
      </w:r>
      <w:r w:rsidR="002D54B4" w:rsidRPr="002D54B4">
        <w:rPr>
          <w:lang w:val="lt-LT"/>
        </w:rPr>
        <w:t>gerinti</w:t>
      </w:r>
      <w:r w:rsidR="002D54B4" w:rsidRPr="002D54B4">
        <w:t xml:space="preserve"> </w:t>
      </w:r>
      <w:r w:rsidR="002D54B4" w:rsidRPr="002D54B4">
        <w:rPr>
          <w:lang w:val="lt-LT"/>
        </w:rPr>
        <w:t>siekiant</w:t>
      </w:r>
      <w:r w:rsidR="002D54B4" w:rsidRPr="002D54B4">
        <w:t xml:space="preserve"> sumažinti atotrūkį tarp skirtingų Lietuvos regionų</w:t>
      </w:r>
      <w:r w:rsidR="002D54B4" w:rsidRPr="002D54B4">
        <w:rPr>
          <w:lang w:val="lt-LT"/>
        </w:rPr>
        <w:t xml:space="preserve"> ir</w:t>
      </w:r>
      <w:r w:rsidR="002D54B4" w:rsidRPr="002D54B4">
        <w:t xml:space="preserve"> finansiškai motyvuoti vidutinį ar mažesnį augimo potencialą turinčias savivaldybes siekti ekonominių rodiklių</w:t>
      </w:r>
      <w:r w:rsidR="00907358" w:rsidRPr="002D54B4">
        <w:t>.</w:t>
      </w:r>
    </w:p>
    <w:p w14:paraId="6A5010E3" w14:textId="77777777" w:rsidR="00FD3F1F" w:rsidRDefault="00D63D35" w:rsidP="00E44266">
      <w:pPr>
        <w:ind w:firstLine="1296"/>
        <w:jc w:val="both"/>
      </w:pPr>
      <w:r w:rsidRPr="00D63D35">
        <w:t>Visagino savivaldybės 20</w:t>
      </w:r>
      <w:r w:rsidR="00907358">
        <w:t>20</w:t>
      </w:r>
      <w:r w:rsidRPr="00D63D35">
        <w:t xml:space="preserve"> m. prognozuojamos pajamos yra </w:t>
      </w:r>
      <w:r w:rsidR="002D54B4">
        <w:t>16070</w:t>
      </w:r>
      <w:r>
        <w:t>,0</w:t>
      </w:r>
      <w:r w:rsidRPr="00D63D35">
        <w:t xml:space="preserve"> tūkst. Eur. Į prognozuojamų pajamų rodiklį neįskaitomos savivaldybių biudžetinių įstaigų pajamos, vietinės rinkliavos, pajamos, priskirtos pagal </w:t>
      </w:r>
      <w:r w:rsidR="004B0AD3">
        <w:t>S</w:t>
      </w:r>
      <w:r w:rsidRPr="00D63D35">
        <w:t>avivaldybių aplinkos apsaugos rėmimo specialiosios programos įstatymą. 20</w:t>
      </w:r>
      <w:r w:rsidR="002D54B4">
        <w:t>20</w:t>
      </w:r>
      <w:r w:rsidRPr="00D63D35">
        <w:t xml:space="preserve"> metų prognozuojamos pajamos, lyginant su 201</w:t>
      </w:r>
      <w:r w:rsidR="002D54B4">
        <w:t>9</w:t>
      </w:r>
      <w:r w:rsidRPr="00D63D35">
        <w:t xml:space="preserve"> metais, didesnės </w:t>
      </w:r>
      <w:r w:rsidR="002D54B4">
        <w:t>632</w:t>
      </w:r>
      <w:r>
        <w:t>,0</w:t>
      </w:r>
      <w:r w:rsidRPr="00D63D35">
        <w:t xml:space="preserve"> tūkst. Eur, kurias sudaro</w:t>
      </w:r>
      <w:r w:rsidR="00FD3F1F" w:rsidRPr="00D63D35">
        <w:t>:</w:t>
      </w:r>
      <w:r w:rsidR="00FD3F1F">
        <w:t xml:space="preserve"> </w:t>
      </w:r>
    </w:p>
    <w:p w14:paraId="1CA4C5FC" w14:textId="77777777" w:rsidR="00FD3F1F" w:rsidRDefault="00FD3F1F" w:rsidP="00E44266">
      <w:pPr>
        <w:ind w:firstLine="1296"/>
        <w:jc w:val="both"/>
      </w:pPr>
      <w:r>
        <w:t>+544,0 tūkst. Eur gyventojų pajamų mokesčio</w:t>
      </w:r>
      <w:r w:rsidR="000F2480">
        <w:t>,</w:t>
      </w:r>
    </w:p>
    <w:p w14:paraId="784C0F23" w14:textId="77777777" w:rsidR="000F2480" w:rsidRDefault="000F2480" w:rsidP="00E44266">
      <w:pPr>
        <w:ind w:firstLine="1296"/>
        <w:jc w:val="both"/>
      </w:pPr>
      <w:r>
        <w:t>+30,0 tūkst. Eur nekilnojamojo  turto mokesčio,</w:t>
      </w:r>
    </w:p>
    <w:p w14:paraId="18EDB391" w14:textId="77777777" w:rsidR="000F2480" w:rsidRDefault="000F2480" w:rsidP="00E44266">
      <w:pPr>
        <w:ind w:firstLine="1296"/>
        <w:jc w:val="both"/>
      </w:pPr>
      <w:r>
        <w:t>+50,5 tūkst. Eur kitos neišvardintos pajamos ir kt.</w:t>
      </w:r>
    </w:p>
    <w:p w14:paraId="720E9345" w14:textId="77777777" w:rsidR="00D63D35" w:rsidRDefault="00D63D35" w:rsidP="00D63D35">
      <w:pPr>
        <w:jc w:val="both"/>
      </w:pPr>
      <w:r w:rsidRPr="00D63D35">
        <w:t> </w:t>
      </w:r>
    </w:p>
    <w:p w14:paraId="3434B6DA" w14:textId="77777777" w:rsidR="007E67BB" w:rsidRPr="00B94EBC" w:rsidRDefault="007E67BB" w:rsidP="00856969">
      <w:pPr>
        <w:jc w:val="center"/>
        <w:rPr>
          <w:b/>
          <w:color w:val="2F5496"/>
        </w:rPr>
      </w:pPr>
      <w:r w:rsidRPr="00B94EBC">
        <w:rPr>
          <w:b/>
          <w:color w:val="2F5496"/>
        </w:rPr>
        <w:t>20</w:t>
      </w:r>
      <w:r w:rsidR="000F2480">
        <w:rPr>
          <w:b/>
          <w:color w:val="2F5496"/>
        </w:rPr>
        <w:t>20</w:t>
      </w:r>
      <w:r w:rsidRPr="00B94EBC">
        <w:rPr>
          <w:b/>
          <w:color w:val="2F5496"/>
        </w:rPr>
        <w:t xml:space="preserve"> metų biudžeto prognozuojamos pajamos</w:t>
      </w:r>
      <w:r w:rsidRPr="00B94EBC">
        <w:rPr>
          <w:b/>
          <w:color w:val="2F5496"/>
        </w:rPr>
        <w:br/>
      </w:r>
      <w:r w:rsidR="000F2480">
        <w:rPr>
          <w:b/>
          <w:color w:val="2F5496"/>
        </w:rPr>
        <w:t>16070</w:t>
      </w:r>
      <w:r w:rsidR="00FB6C93" w:rsidRPr="00B94EBC">
        <w:rPr>
          <w:b/>
          <w:color w:val="2F5496"/>
        </w:rPr>
        <w:t>,0 tūkst.</w:t>
      </w:r>
      <w:r w:rsidRPr="00B94EBC">
        <w:rPr>
          <w:b/>
          <w:color w:val="2F5496"/>
        </w:rPr>
        <w:t xml:space="preserve"> Eur</w:t>
      </w:r>
    </w:p>
    <w:p w14:paraId="65579B8A" w14:textId="77777777" w:rsidR="007E67BB" w:rsidRDefault="007E67BB" w:rsidP="007E67BB">
      <w:pPr>
        <w:jc w:val="both"/>
      </w:pPr>
      <w:r>
        <w:tab/>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670"/>
        <w:gridCol w:w="4151"/>
        <w:gridCol w:w="2408"/>
        <w:gridCol w:w="2399"/>
      </w:tblGrid>
      <w:tr w:rsidR="007E67BB" w14:paraId="4AAAC795" w14:textId="77777777" w:rsidTr="00B94EBC">
        <w:trPr>
          <w:trHeight w:val="440"/>
        </w:trPr>
        <w:tc>
          <w:tcPr>
            <w:tcW w:w="675" w:type="dxa"/>
            <w:tcBorders>
              <w:top w:val="single" w:sz="4" w:space="0" w:color="4472C4"/>
              <w:left w:val="single" w:sz="4" w:space="0" w:color="4472C4"/>
              <w:bottom w:val="single" w:sz="4" w:space="0" w:color="4472C4"/>
              <w:right w:val="nil"/>
            </w:tcBorders>
            <w:shd w:val="clear" w:color="auto" w:fill="4472C4"/>
          </w:tcPr>
          <w:p w14:paraId="6CF6EEDF" w14:textId="77777777" w:rsidR="007E67BB" w:rsidRPr="000A512D" w:rsidRDefault="007E67BB" w:rsidP="00B94EBC">
            <w:pPr>
              <w:jc w:val="both"/>
              <w:rPr>
                <w:b/>
                <w:bCs/>
                <w:color w:val="FFFFFF"/>
              </w:rPr>
            </w:pPr>
            <w:r w:rsidRPr="000A512D">
              <w:rPr>
                <w:b/>
                <w:bCs/>
                <w:color w:val="FFFFFF"/>
                <w:sz w:val="20"/>
                <w:szCs w:val="20"/>
              </w:rPr>
              <w:t>Eil. Nr</w:t>
            </w:r>
            <w:r w:rsidRPr="000A512D">
              <w:rPr>
                <w:b/>
                <w:bCs/>
                <w:color w:val="FFFFFF"/>
              </w:rPr>
              <w:t>.</w:t>
            </w:r>
          </w:p>
        </w:tc>
        <w:tc>
          <w:tcPr>
            <w:tcW w:w="4251" w:type="dxa"/>
            <w:tcBorders>
              <w:top w:val="single" w:sz="4" w:space="0" w:color="4472C4"/>
              <w:left w:val="nil"/>
              <w:bottom w:val="single" w:sz="4" w:space="0" w:color="4472C4"/>
              <w:right w:val="nil"/>
            </w:tcBorders>
            <w:shd w:val="clear" w:color="auto" w:fill="4472C4"/>
          </w:tcPr>
          <w:p w14:paraId="5836D6DF" w14:textId="77777777" w:rsidR="007E67BB" w:rsidRPr="000A512D" w:rsidRDefault="007E67BB" w:rsidP="00B94EBC">
            <w:pPr>
              <w:jc w:val="center"/>
              <w:rPr>
                <w:b/>
                <w:bCs/>
                <w:color w:val="FFFFFF"/>
              </w:rPr>
            </w:pPr>
            <w:r w:rsidRPr="000A512D">
              <w:rPr>
                <w:b/>
                <w:bCs/>
                <w:color w:val="FFFFFF"/>
              </w:rPr>
              <w:t>Pajamų pavadinimas</w:t>
            </w:r>
          </w:p>
        </w:tc>
        <w:tc>
          <w:tcPr>
            <w:tcW w:w="2464" w:type="dxa"/>
            <w:tcBorders>
              <w:top w:val="single" w:sz="4" w:space="0" w:color="4472C4"/>
              <w:left w:val="nil"/>
              <w:bottom w:val="single" w:sz="4" w:space="0" w:color="4472C4"/>
              <w:right w:val="nil"/>
            </w:tcBorders>
            <w:shd w:val="clear" w:color="auto" w:fill="4472C4"/>
          </w:tcPr>
          <w:p w14:paraId="4ADE1E93" w14:textId="77777777" w:rsidR="007E67BB" w:rsidRPr="000A512D" w:rsidRDefault="007E67BB" w:rsidP="00B94EBC">
            <w:pPr>
              <w:jc w:val="center"/>
              <w:rPr>
                <w:b/>
                <w:bCs/>
                <w:color w:val="FFFFFF"/>
              </w:rPr>
            </w:pPr>
            <w:r w:rsidRPr="000A512D">
              <w:rPr>
                <w:b/>
                <w:bCs/>
                <w:color w:val="FFFFFF"/>
              </w:rPr>
              <w:t>SUMA</w:t>
            </w:r>
          </w:p>
        </w:tc>
        <w:tc>
          <w:tcPr>
            <w:tcW w:w="2464" w:type="dxa"/>
            <w:tcBorders>
              <w:top w:val="single" w:sz="4" w:space="0" w:color="4472C4"/>
              <w:left w:val="nil"/>
              <w:bottom w:val="single" w:sz="4" w:space="0" w:color="4472C4"/>
              <w:right w:val="single" w:sz="4" w:space="0" w:color="4472C4"/>
            </w:tcBorders>
            <w:shd w:val="clear" w:color="auto" w:fill="4472C4"/>
          </w:tcPr>
          <w:p w14:paraId="4647C704" w14:textId="77777777" w:rsidR="007E67BB" w:rsidRPr="000A512D" w:rsidRDefault="007E67BB" w:rsidP="00B94EBC">
            <w:pPr>
              <w:jc w:val="center"/>
              <w:rPr>
                <w:b/>
                <w:bCs/>
                <w:color w:val="FFFFFF"/>
              </w:rPr>
            </w:pPr>
            <w:r w:rsidRPr="000A512D">
              <w:rPr>
                <w:b/>
                <w:bCs/>
                <w:color w:val="FFFFFF"/>
              </w:rPr>
              <w:t>Proc.</w:t>
            </w:r>
          </w:p>
        </w:tc>
      </w:tr>
      <w:tr w:rsidR="007E67BB" w14:paraId="54AF9CD6" w14:textId="77777777" w:rsidTr="00B94EBC">
        <w:tc>
          <w:tcPr>
            <w:tcW w:w="675" w:type="dxa"/>
            <w:shd w:val="clear" w:color="auto" w:fill="D9E2F3"/>
          </w:tcPr>
          <w:p w14:paraId="14B784E2" w14:textId="77777777" w:rsidR="007E67BB" w:rsidRPr="000A512D" w:rsidRDefault="007E67BB" w:rsidP="00B94EBC">
            <w:pPr>
              <w:jc w:val="both"/>
              <w:rPr>
                <w:b/>
                <w:bCs/>
              </w:rPr>
            </w:pPr>
            <w:r w:rsidRPr="000A512D">
              <w:rPr>
                <w:b/>
                <w:bCs/>
              </w:rPr>
              <w:t>1</w:t>
            </w:r>
          </w:p>
        </w:tc>
        <w:tc>
          <w:tcPr>
            <w:tcW w:w="4251" w:type="dxa"/>
            <w:shd w:val="clear" w:color="auto" w:fill="D9E2F3"/>
          </w:tcPr>
          <w:p w14:paraId="5F719F34" w14:textId="77777777" w:rsidR="007E67BB" w:rsidRPr="000A512D" w:rsidRDefault="007E67BB" w:rsidP="00B94EBC">
            <w:pPr>
              <w:rPr>
                <w:rFonts w:ascii="Calibri Light" w:hAnsi="Calibri Light" w:cs="Calibri Light"/>
                <w:b/>
                <w:color w:val="000000"/>
              </w:rPr>
            </w:pPr>
            <w:r w:rsidRPr="000A512D">
              <w:rPr>
                <w:rFonts w:ascii="Calibri Light" w:hAnsi="Calibri Light" w:cs="Calibri Light"/>
                <w:b/>
                <w:color w:val="000000"/>
              </w:rPr>
              <w:t xml:space="preserve">Gyventojų pajamų mokestis </w:t>
            </w:r>
          </w:p>
        </w:tc>
        <w:tc>
          <w:tcPr>
            <w:tcW w:w="2464" w:type="dxa"/>
            <w:shd w:val="clear" w:color="auto" w:fill="D9E2F3"/>
          </w:tcPr>
          <w:p w14:paraId="24F56436" w14:textId="77777777" w:rsidR="007E67BB" w:rsidRDefault="000F2480" w:rsidP="00B94EBC">
            <w:pPr>
              <w:jc w:val="center"/>
            </w:pPr>
            <w:r>
              <w:t>15814</w:t>
            </w:r>
            <w:r w:rsidR="00FB6C93">
              <w:t>,0</w:t>
            </w:r>
          </w:p>
        </w:tc>
        <w:tc>
          <w:tcPr>
            <w:tcW w:w="2464" w:type="dxa"/>
            <w:shd w:val="clear" w:color="auto" w:fill="D9E2F3"/>
          </w:tcPr>
          <w:p w14:paraId="751228AE" w14:textId="77777777" w:rsidR="007E67BB" w:rsidRDefault="007E67BB" w:rsidP="00B94EBC">
            <w:pPr>
              <w:jc w:val="center"/>
            </w:pPr>
            <w:r>
              <w:t>98,</w:t>
            </w:r>
            <w:r w:rsidR="000F2480">
              <w:t>4</w:t>
            </w:r>
            <w:r w:rsidR="00FB6C93">
              <w:t>1</w:t>
            </w:r>
          </w:p>
        </w:tc>
      </w:tr>
      <w:tr w:rsidR="007E67BB" w14:paraId="0F8227E2" w14:textId="77777777" w:rsidTr="00B94EBC">
        <w:tc>
          <w:tcPr>
            <w:tcW w:w="675" w:type="dxa"/>
            <w:shd w:val="clear" w:color="auto" w:fill="auto"/>
          </w:tcPr>
          <w:p w14:paraId="7020A0DF" w14:textId="77777777" w:rsidR="007E67BB" w:rsidRPr="000A512D" w:rsidRDefault="007E67BB" w:rsidP="00B94EBC">
            <w:pPr>
              <w:jc w:val="both"/>
              <w:rPr>
                <w:b/>
                <w:bCs/>
              </w:rPr>
            </w:pPr>
            <w:r w:rsidRPr="000A512D">
              <w:rPr>
                <w:b/>
                <w:bCs/>
              </w:rPr>
              <w:t>2</w:t>
            </w:r>
          </w:p>
        </w:tc>
        <w:tc>
          <w:tcPr>
            <w:tcW w:w="4251" w:type="dxa"/>
            <w:shd w:val="clear" w:color="auto" w:fill="auto"/>
          </w:tcPr>
          <w:p w14:paraId="2EC870C4" w14:textId="77777777" w:rsidR="007E67BB" w:rsidRPr="000A512D" w:rsidRDefault="007E67BB" w:rsidP="00B94EBC">
            <w:pPr>
              <w:rPr>
                <w:rFonts w:ascii="Calibri Light" w:hAnsi="Calibri Light" w:cs="Calibri Light"/>
                <w:b/>
                <w:color w:val="000000"/>
              </w:rPr>
            </w:pPr>
            <w:r w:rsidRPr="000A512D">
              <w:rPr>
                <w:rFonts w:ascii="Calibri Light" w:hAnsi="Calibri Light" w:cs="Calibri Light"/>
                <w:b/>
                <w:color w:val="000000"/>
              </w:rPr>
              <w:t>Žemės mokestis</w:t>
            </w:r>
          </w:p>
        </w:tc>
        <w:tc>
          <w:tcPr>
            <w:tcW w:w="2464" w:type="dxa"/>
            <w:shd w:val="clear" w:color="auto" w:fill="auto"/>
          </w:tcPr>
          <w:p w14:paraId="5A9ADC74" w14:textId="77777777" w:rsidR="007E67BB" w:rsidRDefault="000F2480" w:rsidP="00B94EBC">
            <w:pPr>
              <w:jc w:val="center"/>
            </w:pPr>
            <w:r>
              <w:t>8</w:t>
            </w:r>
            <w:r w:rsidR="00FB6C93">
              <w:t>,</w:t>
            </w:r>
            <w:r w:rsidR="007E67BB">
              <w:t>0</w:t>
            </w:r>
          </w:p>
        </w:tc>
        <w:tc>
          <w:tcPr>
            <w:tcW w:w="2464" w:type="dxa"/>
            <w:shd w:val="clear" w:color="auto" w:fill="auto"/>
          </w:tcPr>
          <w:p w14:paraId="02083266" w14:textId="77777777" w:rsidR="007E67BB" w:rsidRDefault="007E67BB" w:rsidP="00B94EBC">
            <w:pPr>
              <w:jc w:val="center"/>
            </w:pPr>
            <w:r>
              <w:t>0,05</w:t>
            </w:r>
          </w:p>
        </w:tc>
      </w:tr>
      <w:tr w:rsidR="007E67BB" w14:paraId="114A637B" w14:textId="77777777" w:rsidTr="00B94EBC">
        <w:tc>
          <w:tcPr>
            <w:tcW w:w="675" w:type="dxa"/>
            <w:shd w:val="clear" w:color="auto" w:fill="D9E2F3"/>
          </w:tcPr>
          <w:p w14:paraId="0F40BEC2" w14:textId="77777777" w:rsidR="007E67BB" w:rsidRPr="000A512D" w:rsidRDefault="007E67BB" w:rsidP="00B94EBC">
            <w:pPr>
              <w:jc w:val="both"/>
              <w:rPr>
                <w:b/>
                <w:bCs/>
              </w:rPr>
            </w:pPr>
            <w:r w:rsidRPr="000A512D">
              <w:rPr>
                <w:b/>
                <w:bCs/>
              </w:rPr>
              <w:t>3</w:t>
            </w:r>
          </w:p>
        </w:tc>
        <w:tc>
          <w:tcPr>
            <w:tcW w:w="4251" w:type="dxa"/>
            <w:shd w:val="clear" w:color="auto" w:fill="D9E2F3"/>
          </w:tcPr>
          <w:p w14:paraId="41E2BEB1" w14:textId="77777777" w:rsidR="007E67BB" w:rsidRPr="000A512D" w:rsidRDefault="007E67BB" w:rsidP="00B94EBC">
            <w:pPr>
              <w:rPr>
                <w:rFonts w:ascii="Calibri Light" w:hAnsi="Calibri Light" w:cs="Calibri Light"/>
                <w:b/>
                <w:color w:val="000000"/>
              </w:rPr>
            </w:pPr>
            <w:r w:rsidRPr="000A512D">
              <w:rPr>
                <w:rFonts w:ascii="Calibri Light" w:hAnsi="Calibri Light" w:cs="Calibri Light"/>
                <w:b/>
                <w:color w:val="000000"/>
              </w:rPr>
              <w:t>Nekilnojamojo turto mokestis</w:t>
            </w:r>
          </w:p>
        </w:tc>
        <w:tc>
          <w:tcPr>
            <w:tcW w:w="2464" w:type="dxa"/>
            <w:shd w:val="clear" w:color="auto" w:fill="D9E2F3"/>
          </w:tcPr>
          <w:p w14:paraId="32BA5834" w14:textId="77777777" w:rsidR="007E67BB" w:rsidRDefault="000F2480" w:rsidP="00B94EBC">
            <w:pPr>
              <w:jc w:val="center"/>
            </w:pPr>
            <w:r>
              <w:t>120,</w:t>
            </w:r>
            <w:r w:rsidR="00FB6C93">
              <w:t>0</w:t>
            </w:r>
          </w:p>
        </w:tc>
        <w:tc>
          <w:tcPr>
            <w:tcW w:w="2464" w:type="dxa"/>
            <w:shd w:val="clear" w:color="auto" w:fill="D9E2F3"/>
          </w:tcPr>
          <w:p w14:paraId="31D69CCE" w14:textId="77777777" w:rsidR="007E67BB" w:rsidRDefault="007E67BB" w:rsidP="00B94EBC">
            <w:pPr>
              <w:jc w:val="center"/>
            </w:pPr>
            <w:r>
              <w:t>0,</w:t>
            </w:r>
            <w:r w:rsidR="000F2480">
              <w:t>75</w:t>
            </w:r>
          </w:p>
        </w:tc>
      </w:tr>
      <w:tr w:rsidR="007E67BB" w14:paraId="43A5506C" w14:textId="77777777" w:rsidTr="00B94EBC">
        <w:tc>
          <w:tcPr>
            <w:tcW w:w="675" w:type="dxa"/>
            <w:shd w:val="clear" w:color="auto" w:fill="auto"/>
          </w:tcPr>
          <w:p w14:paraId="6DD71496" w14:textId="77777777" w:rsidR="007E67BB" w:rsidRPr="000A512D" w:rsidRDefault="007E67BB" w:rsidP="00B94EBC">
            <w:pPr>
              <w:jc w:val="both"/>
              <w:rPr>
                <w:b/>
                <w:bCs/>
              </w:rPr>
            </w:pPr>
            <w:r w:rsidRPr="000A512D">
              <w:rPr>
                <w:b/>
                <w:bCs/>
              </w:rPr>
              <w:t>4</w:t>
            </w:r>
          </w:p>
        </w:tc>
        <w:tc>
          <w:tcPr>
            <w:tcW w:w="4251" w:type="dxa"/>
            <w:shd w:val="clear" w:color="auto" w:fill="auto"/>
          </w:tcPr>
          <w:p w14:paraId="6F3DB374" w14:textId="77777777" w:rsidR="007E67BB" w:rsidRPr="000A512D" w:rsidRDefault="007E67BB" w:rsidP="00B94EBC">
            <w:pPr>
              <w:rPr>
                <w:rFonts w:ascii="Calibri Light" w:hAnsi="Calibri Light" w:cs="Calibri Light"/>
                <w:b/>
                <w:color w:val="000000"/>
              </w:rPr>
            </w:pPr>
            <w:r w:rsidRPr="000A512D">
              <w:rPr>
                <w:rFonts w:ascii="Calibri Light" w:hAnsi="Calibri Light" w:cs="Calibri Light"/>
                <w:b/>
                <w:color w:val="000000"/>
              </w:rPr>
              <w:t>Nuomos mokestis už valstybinę žemę</w:t>
            </w:r>
          </w:p>
        </w:tc>
        <w:tc>
          <w:tcPr>
            <w:tcW w:w="2464" w:type="dxa"/>
            <w:shd w:val="clear" w:color="auto" w:fill="auto"/>
          </w:tcPr>
          <w:p w14:paraId="2D1A57D0" w14:textId="77777777" w:rsidR="007E67BB" w:rsidRDefault="00FB6C93" w:rsidP="00B94EBC">
            <w:pPr>
              <w:jc w:val="center"/>
            </w:pPr>
            <w:r>
              <w:t>6</w:t>
            </w:r>
            <w:r w:rsidR="000F2480">
              <w:t>5</w:t>
            </w:r>
            <w:r>
              <w:t>,0</w:t>
            </w:r>
          </w:p>
        </w:tc>
        <w:tc>
          <w:tcPr>
            <w:tcW w:w="2464" w:type="dxa"/>
            <w:shd w:val="clear" w:color="auto" w:fill="auto"/>
          </w:tcPr>
          <w:p w14:paraId="66A784FA" w14:textId="77777777" w:rsidR="007E67BB" w:rsidRDefault="007E67BB" w:rsidP="00B94EBC">
            <w:pPr>
              <w:jc w:val="center"/>
            </w:pPr>
            <w:r>
              <w:t>0,4</w:t>
            </w:r>
            <w:r w:rsidR="00C730B6">
              <w:t>0</w:t>
            </w:r>
          </w:p>
        </w:tc>
      </w:tr>
      <w:tr w:rsidR="007E67BB" w14:paraId="565DA9C6" w14:textId="77777777" w:rsidTr="00B94EBC">
        <w:tc>
          <w:tcPr>
            <w:tcW w:w="675" w:type="dxa"/>
            <w:shd w:val="clear" w:color="auto" w:fill="D9E2F3"/>
          </w:tcPr>
          <w:p w14:paraId="380B24C3" w14:textId="77777777" w:rsidR="007E67BB" w:rsidRPr="000A512D" w:rsidRDefault="007E67BB" w:rsidP="00B94EBC">
            <w:pPr>
              <w:jc w:val="both"/>
              <w:rPr>
                <w:b/>
                <w:bCs/>
              </w:rPr>
            </w:pPr>
            <w:r w:rsidRPr="000A512D">
              <w:rPr>
                <w:b/>
                <w:bCs/>
              </w:rPr>
              <w:t>5</w:t>
            </w:r>
          </w:p>
        </w:tc>
        <w:tc>
          <w:tcPr>
            <w:tcW w:w="4251" w:type="dxa"/>
            <w:shd w:val="clear" w:color="auto" w:fill="D9E2F3"/>
          </w:tcPr>
          <w:p w14:paraId="1E8E2B67" w14:textId="77777777" w:rsidR="007E67BB" w:rsidRPr="000A512D" w:rsidRDefault="007E67BB" w:rsidP="00B94EBC">
            <w:pPr>
              <w:rPr>
                <w:rFonts w:ascii="Calibri Light" w:hAnsi="Calibri Light" w:cs="Calibri Light"/>
                <w:b/>
                <w:color w:val="000000"/>
              </w:rPr>
            </w:pPr>
            <w:r w:rsidRPr="000A512D">
              <w:rPr>
                <w:rFonts w:ascii="Calibri Light" w:hAnsi="Calibri Light" w:cs="Calibri Light"/>
                <w:b/>
                <w:color w:val="000000"/>
              </w:rPr>
              <w:t>Paveldėto turto mokestis</w:t>
            </w:r>
          </w:p>
        </w:tc>
        <w:tc>
          <w:tcPr>
            <w:tcW w:w="2464" w:type="dxa"/>
            <w:shd w:val="clear" w:color="auto" w:fill="D9E2F3"/>
          </w:tcPr>
          <w:p w14:paraId="4F23CABC" w14:textId="77777777" w:rsidR="007E67BB" w:rsidRDefault="000F2480" w:rsidP="00B94EBC">
            <w:pPr>
              <w:jc w:val="center"/>
            </w:pPr>
            <w:r>
              <w:t>2</w:t>
            </w:r>
            <w:r w:rsidR="00FB6C93">
              <w:t>,0</w:t>
            </w:r>
          </w:p>
        </w:tc>
        <w:tc>
          <w:tcPr>
            <w:tcW w:w="2464" w:type="dxa"/>
            <w:shd w:val="clear" w:color="auto" w:fill="D9E2F3"/>
          </w:tcPr>
          <w:p w14:paraId="2B25709B" w14:textId="77777777" w:rsidR="007E67BB" w:rsidRDefault="007E67BB" w:rsidP="00B94EBC">
            <w:pPr>
              <w:jc w:val="center"/>
            </w:pPr>
            <w:r>
              <w:t>0,01</w:t>
            </w:r>
          </w:p>
        </w:tc>
      </w:tr>
      <w:tr w:rsidR="007E67BB" w14:paraId="196E751F" w14:textId="77777777" w:rsidTr="00B94EBC">
        <w:tc>
          <w:tcPr>
            <w:tcW w:w="675" w:type="dxa"/>
            <w:shd w:val="clear" w:color="auto" w:fill="auto"/>
          </w:tcPr>
          <w:p w14:paraId="6246E4FF" w14:textId="77777777" w:rsidR="007E67BB" w:rsidRPr="000A512D" w:rsidRDefault="007E67BB" w:rsidP="00B94EBC">
            <w:pPr>
              <w:jc w:val="both"/>
              <w:rPr>
                <w:b/>
                <w:bCs/>
              </w:rPr>
            </w:pPr>
            <w:r w:rsidRPr="000A512D">
              <w:rPr>
                <w:b/>
                <w:bCs/>
              </w:rPr>
              <w:t>6</w:t>
            </w:r>
          </w:p>
        </w:tc>
        <w:tc>
          <w:tcPr>
            <w:tcW w:w="4251" w:type="dxa"/>
            <w:shd w:val="clear" w:color="auto" w:fill="auto"/>
          </w:tcPr>
          <w:p w14:paraId="54CC0332" w14:textId="77777777" w:rsidR="007E67BB" w:rsidRPr="000A512D" w:rsidRDefault="007E67BB" w:rsidP="00B94EBC">
            <w:pPr>
              <w:rPr>
                <w:rFonts w:ascii="Calibri Light" w:hAnsi="Calibri Light" w:cs="Calibri Light"/>
                <w:b/>
                <w:color w:val="000000"/>
              </w:rPr>
            </w:pPr>
            <w:r w:rsidRPr="000A512D">
              <w:rPr>
                <w:rFonts w:ascii="Calibri Light" w:hAnsi="Calibri Light" w:cs="Calibri Light"/>
                <w:b/>
                <w:color w:val="000000"/>
              </w:rPr>
              <w:t>Kitos pajamos</w:t>
            </w:r>
          </w:p>
        </w:tc>
        <w:tc>
          <w:tcPr>
            <w:tcW w:w="2464" w:type="dxa"/>
            <w:shd w:val="clear" w:color="auto" w:fill="auto"/>
          </w:tcPr>
          <w:p w14:paraId="31A378F8" w14:textId="77777777" w:rsidR="007E67BB" w:rsidRDefault="000F2480" w:rsidP="00B94EBC">
            <w:pPr>
              <w:jc w:val="center"/>
            </w:pPr>
            <w:r>
              <w:t>61.</w:t>
            </w:r>
            <w:r w:rsidR="00FB6C93">
              <w:t>0</w:t>
            </w:r>
          </w:p>
        </w:tc>
        <w:tc>
          <w:tcPr>
            <w:tcW w:w="2464" w:type="dxa"/>
            <w:shd w:val="clear" w:color="auto" w:fill="auto"/>
          </w:tcPr>
          <w:p w14:paraId="676499D5" w14:textId="77777777" w:rsidR="007E67BB" w:rsidRDefault="007E67BB" w:rsidP="00B94EBC">
            <w:pPr>
              <w:jc w:val="center"/>
            </w:pPr>
            <w:r>
              <w:t>0,</w:t>
            </w:r>
            <w:r w:rsidR="00C730B6">
              <w:t>38</w:t>
            </w:r>
          </w:p>
        </w:tc>
      </w:tr>
      <w:tr w:rsidR="007E67BB" w14:paraId="043E6E44" w14:textId="77777777" w:rsidTr="00B94EBC">
        <w:tc>
          <w:tcPr>
            <w:tcW w:w="675" w:type="dxa"/>
            <w:shd w:val="clear" w:color="auto" w:fill="D9E2F3"/>
          </w:tcPr>
          <w:p w14:paraId="3D8FD997" w14:textId="77777777" w:rsidR="007E67BB" w:rsidRPr="000A512D" w:rsidRDefault="007E67BB" w:rsidP="00B94EBC">
            <w:pPr>
              <w:jc w:val="both"/>
              <w:rPr>
                <w:b/>
                <w:bCs/>
              </w:rPr>
            </w:pPr>
          </w:p>
        </w:tc>
        <w:tc>
          <w:tcPr>
            <w:tcW w:w="4251" w:type="dxa"/>
            <w:shd w:val="clear" w:color="auto" w:fill="D9E2F3"/>
          </w:tcPr>
          <w:p w14:paraId="529B3997" w14:textId="77777777" w:rsidR="007E67BB" w:rsidRPr="00856969" w:rsidRDefault="007E67BB" w:rsidP="00B94EBC">
            <w:pPr>
              <w:rPr>
                <w:rFonts w:ascii="Calibri Light" w:hAnsi="Calibri Light" w:cs="Calibri Light"/>
                <w:b/>
                <w:color w:val="000000"/>
              </w:rPr>
            </w:pPr>
            <w:r w:rsidRPr="00856969">
              <w:rPr>
                <w:rFonts w:ascii="Calibri Light" w:hAnsi="Calibri Light" w:cs="Calibri Light"/>
                <w:b/>
                <w:color w:val="000000"/>
              </w:rPr>
              <w:t>Iš viso</w:t>
            </w:r>
          </w:p>
        </w:tc>
        <w:tc>
          <w:tcPr>
            <w:tcW w:w="2464" w:type="dxa"/>
            <w:shd w:val="clear" w:color="auto" w:fill="D9E2F3"/>
          </w:tcPr>
          <w:p w14:paraId="27FD377D" w14:textId="77777777" w:rsidR="007E67BB" w:rsidRDefault="000F2480" w:rsidP="00B94EBC">
            <w:pPr>
              <w:jc w:val="center"/>
            </w:pPr>
            <w:r>
              <w:t>16070</w:t>
            </w:r>
            <w:r w:rsidR="00FB6C93">
              <w:t>,0</w:t>
            </w:r>
          </w:p>
        </w:tc>
        <w:tc>
          <w:tcPr>
            <w:tcW w:w="2464" w:type="dxa"/>
            <w:shd w:val="clear" w:color="auto" w:fill="D9E2F3"/>
          </w:tcPr>
          <w:p w14:paraId="384683E3" w14:textId="77777777" w:rsidR="007E67BB" w:rsidRDefault="007E67BB" w:rsidP="00B94EBC">
            <w:pPr>
              <w:jc w:val="center"/>
            </w:pPr>
            <w:r>
              <w:t>100</w:t>
            </w:r>
          </w:p>
        </w:tc>
      </w:tr>
    </w:tbl>
    <w:p w14:paraId="6A18CF2A" w14:textId="77777777" w:rsidR="007E67BB" w:rsidRDefault="007E67BB" w:rsidP="00D63D35">
      <w:pPr>
        <w:jc w:val="both"/>
      </w:pPr>
    </w:p>
    <w:p w14:paraId="54D05B65" w14:textId="77777777" w:rsidR="00C730B6" w:rsidRPr="00E205D7" w:rsidRDefault="00C730B6" w:rsidP="00C730B6">
      <w:pPr>
        <w:ind w:firstLine="1296"/>
        <w:jc w:val="both"/>
      </w:pPr>
      <w:r w:rsidRPr="00E205D7">
        <w:t xml:space="preserve">Valstybės biudžeto specialių tikslinių dotacijų 2020 metais skirta 6523,726 </w:t>
      </w:r>
      <w:bookmarkStart w:id="6" w:name="_Hlk30892567"/>
      <w:r w:rsidRPr="00E205D7">
        <w:t>tūkst. Eur</w:t>
      </w:r>
      <w:bookmarkEnd w:id="6"/>
      <w:r w:rsidRPr="00E205D7">
        <w:t xml:space="preserve">, iš jų ugdymo reikmėms finansuoti 5010,5 </w:t>
      </w:r>
      <w:bookmarkStart w:id="7" w:name="_Hlk30892652"/>
      <w:r w:rsidRPr="00E205D7">
        <w:t>tūkst. Eur</w:t>
      </w:r>
      <w:bookmarkEnd w:id="7"/>
      <w:r w:rsidRPr="00E205D7">
        <w:t xml:space="preserve">, valstybinėms (valstybės perduotoms savivaldybėms) funkcijoms finansuoti 1490,326 tūkst. Eur, savivaldybių mokykloms (klasėms arba grupėms), skirtoms šalies mokiniams, turintiems specialiųjų ugdymosi poreikių, ir kitoms savivaldybėms perduotoms įstaigoms išlaikyti 22,9 </w:t>
      </w:r>
      <w:bookmarkStart w:id="8" w:name="_Hlk30892718"/>
      <w:r w:rsidRPr="00E205D7">
        <w:t>tūkst. Eur</w:t>
      </w:r>
      <w:bookmarkEnd w:id="8"/>
      <w:r w:rsidRPr="00E205D7">
        <w:t xml:space="preserve">. Šių dotacijų suma, palyginti su 2019 metais, yra 1025,024 tūkst. Eur didesnė. Papildomai skirta </w:t>
      </w:r>
      <w:r w:rsidR="00DF2F66" w:rsidRPr="00E205D7">
        <w:t>654,3</w:t>
      </w:r>
      <w:r w:rsidRPr="00E205D7">
        <w:t xml:space="preserve"> </w:t>
      </w:r>
      <w:r w:rsidR="00DF2F66" w:rsidRPr="00E205D7">
        <w:t>tūkst. Eur</w:t>
      </w:r>
      <w:r w:rsidRPr="00E205D7">
        <w:t xml:space="preserve"> ugdymo reikmėms (klasės krepšeliui, etatiniam apmokėjimui finansuoti, baziniam dydžiui, </w:t>
      </w:r>
      <w:r w:rsidR="00DF2F66" w:rsidRPr="00E205D7">
        <w:t>darbo apmokėjimo įstatymo pakeitim</w:t>
      </w:r>
      <w:r w:rsidR="002C7E94" w:rsidRPr="00E205D7">
        <w:t>o nuostat</w:t>
      </w:r>
      <w:r w:rsidR="004B0AD3">
        <w:t>oms</w:t>
      </w:r>
      <w:r w:rsidR="00DF2F66" w:rsidRPr="00E205D7">
        <w:t xml:space="preserve"> įgyvendinti</w:t>
      </w:r>
      <w:r w:rsidR="002C7E94" w:rsidRPr="00E205D7">
        <w:t>, pagal kurias numatyta nuo 2020 m. sausio 1 d. panaikinti mokytojų, dirbančių pagal ikimokyklinio, priešmokyklinio ir bendrojo ugdymo programas, tai</w:t>
      </w:r>
      <w:r w:rsidR="004B0AD3">
        <w:t>p</w:t>
      </w:r>
      <w:r w:rsidR="002C7E94" w:rsidRPr="00E205D7">
        <w:t xml:space="preserve"> pat švietimo pagalbos specialistų pareiginės algos pastoviosios dalies koeficientų intervalus, paliekant maksimalų koeficientą, padidinant švietimo pagalbos finansavimą</w:t>
      </w:r>
      <w:r w:rsidRPr="00E205D7">
        <w:t xml:space="preserve">), </w:t>
      </w:r>
      <w:r w:rsidR="00DF2F66" w:rsidRPr="00E205D7">
        <w:t>374,3</w:t>
      </w:r>
      <w:r w:rsidRPr="00E205D7">
        <w:t xml:space="preserve"> </w:t>
      </w:r>
      <w:r w:rsidR="004B0AD3" w:rsidRPr="004B0AD3">
        <w:t xml:space="preserve">tūkst. Eur </w:t>
      </w:r>
      <w:r w:rsidRPr="00E205D7">
        <w:t>valstybinėms (valstybės perduotoms savivaldybėms) funkcijoms finansuoti socialinės apsaugos srityje.</w:t>
      </w:r>
    </w:p>
    <w:p w14:paraId="584F0310" w14:textId="77777777" w:rsidR="00BC3789" w:rsidRDefault="00BC3789" w:rsidP="00C730B6">
      <w:pPr>
        <w:ind w:firstLine="1296"/>
        <w:jc w:val="both"/>
      </w:pPr>
      <w:r w:rsidRPr="00E205D7">
        <w:t>Be to, valstybės institucijos ir įstaigos iš joms patvirtintų asignavimų numato skirti savivaldybei 188</w:t>
      </w:r>
      <w:r w:rsidR="00172F9D">
        <w:t>1</w:t>
      </w:r>
      <w:r w:rsidRPr="00E205D7">
        <w:t>,</w:t>
      </w:r>
      <w:r w:rsidR="00172F9D">
        <w:t>94</w:t>
      </w:r>
      <w:r w:rsidRPr="00E205D7">
        <w:t>5 tūkst. Eur valstybės dotacijų</w:t>
      </w:r>
      <w:r w:rsidR="00E205D7">
        <w:t xml:space="preserve">, iš jų </w:t>
      </w:r>
      <w:r w:rsidR="00E205D7" w:rsidRPr="0049791A">
        <w:rPr>
          <w:color w:val="000000"/>
        </w:rPr>
        <w:t>valstybės investicijų 20</w:t>
      </w:r>
      <w:r w:rsidR="00E205D7">
        <w:rPr>
          <w:color w:val="000000"/>
        </w:rPr>
        <w:t>20</w:t>
      </w:r>
      <w:r w:rsidR="004B0AD3">
        <w:rPr>
          <w:color w:val="000000"/>
        </w:rPr>
        <w:t>–</w:t>
      </w:r>
      <w:r w:rsidR="00E205D7" w:rsidRPr="0049791A">
        <w:rPr>
          <w:color w:val="000000"/>
        </w:rPr>
        <w:t>202</w:t>
      </w:r>
      <w:r w:rsidR="00E205D7">
        <w:rPr>
          <w:color w:val="000000"/>
        </w:rPr>
        <w:t>2</w:t>
      </w:r>
      <w:r w:rsidR="00E205D7" w:rsidRPr="0049791A">
        <w:rPr>
          <w:color w:val="000000"/>
        </w:rPr>
        <w:t xml:space="preserve"> metų programoje numatytų valstybės kapitalo investicijų projektų įgyvendinimo program</w:t>
      </w:r>
      <w:r w:rsidR="00E205D7">
        <w:rPr>
          <w:color w:val="000000"/>
        </w:rPr>
        <w:t>ai įgyvendinti 847,0 tūkst. eurų,</w:t>
      </w:r>
      <w:r w:rsidR="00E205D7" w:rsidRPr="00E205D7">
        <w:rPr>
          <w:color w:val="000000"/>
        </w:rPr>
        <w:t xml:space="preserve"> </w:t>
      </w:r>
      <w:r w:rsidR="00E205D7" w:rsidRPr="00B64343">
        <w:rPr>
          <w:color w:val="000000"/>
        </w:rPr>
        <w:t>savivaldybės kelių priežiūros ir plėtros programos lėšų naudojimo vietinės reikšmės keliams ir gatvėms tiesti, rekonstruoti, taisyti (remontuoti), prižiūrėti ir saugaus eismo sąlygoms užtikrinti</w:t>
      </w:r>
      <w:r w:rsidR="00E205D7">
        <w:rPr>
          <w:color w:val="000000"/>
        </w:rPr>
        <w:t xml:space="preserve"> 628,7 tūkst. eurų,</w:t>
      </w:r>
      <w:r w:rsidRPr="00E205D7">
        <w:t xml:space="preserve"> ir 40,140 tūkst. Eur</w:t>
      </w:r>
      <w:r w:rsidRPr="006F610A">
        <w:t xml:space="preserve"> Europos </w:t>
      </w:r>
      <w:r w:rsidR="004B0AD3">
        <w:t>S</w:t>
      </w:r>
      <w:r w:rsidRPr="006F610A">
        <w:t>ąjungos</w:t>
      </w:r>
      <w:r w:rsidR="006F610A" w:rsidRPr="006F610A">
        <w:t xml:space="preserve"> paramos lėšų</w:t>
      </w:r>
      <w:r w:rsidR="006F610A">
        <w:t>.</w:t>
      </w:r>
    </w:p>
    <w:p w14:paraId="6A3560B1" w14:textId="77777777" w:rsidR="006F610A" w:rsidRPr="006F610A" w:rsidRDefault="006F610A" w:rsidP="00C730B6">
      <w:pPr>
        <w:ind w:firstLine="1296"/>
        <w:jc w:val="both"/>
        <w:rPr>
          <w:b/>
          <w:bCs/>
        </w:rPr>
      </w:pPr>
      <w:r w:rsidRPr="006F610A">
        <w:rPr>
          <w:b/>
          <w:bCs/>
        </w:rPr>
        <w:lastRenderedPageBreak/>
        <w:t xml:space="preserve">Savivaldybių biudžetų pajamos ir valstybės biudžeto dotacijos 2020 metais sudarys 26 </w:t>
      </w:r>
      <w:r w:rsidR="00172F9D">
        <w:rPr>
          <w:b/>
          <w:bCs/>
        </w:rPr>
        <w:t>497</w:t>
      </w:r>
      <w:r w:rsidRPr="006F610A">
        <w:rPr>
          <w:b/>
          <w:bCs/>
        </w:rPr>
        <w:t>,</w:t>
      </w:r>
      <w:r w:rsidR="00172F9D">
        <w:rPr>
          <w:b/>
          <w:bCs/>
        </w:rPr>
        <w:t>51</w:t>
      </w:r>
      <w:r w:rsidRPr="006F610A">
        <w:rPr>
          <w:b/>
          <w:bCs/>
        </w:rPr>
        <w:t>1 tūkst. Eur. Palyginti su 2019 metais, jos didėja 9,7 proc., arba 23</w:t>
      </w:r>
      <w:r w:rsidR="00172F9D">
        <w:rPr>
          <w:b/>
          <w:bCs/>
        </w:rPr>
        <w:t>51</w:t>
      </w:r>
      <w:r w:rsidRPr="006F610A">
        <w:rPr>
          <w:b/>
          <w:bCs/>
        </w:rPr>
        <w:t>,</w:t>
      </w:r>
      <w:r w:rsidR="00172F9D">
        <w:rPr>
          <w:b/>
          <w:bCs/>
        </w:rPr>
        <w:t>98</w:t>
      </w:r>
      <w:r w:rsidRPr="006F610A">
        <w:rPr>
          <w:b/>
          <w:bCs/>
        </w:rPr>
        <w:t>4 tūkst. Eur.</w:t>
      </w:r>
    </w:p>
    <w:p w14:paraId="1CCB4503" w14:textId="77777777" w:rsidR="00D63D35" w:rsidRPr="00D63D35" w:rsidRDefault="000B6D77" w:rsidP="00E44266">
      <w:pPr>
        <w:jc w:val="both"/>
      </w:pPr>
      <w:r>
        <w:tab/>
      </w:r>
      <w:r w:rsidR="00D63D35" w:rsidRPr="00D63D35">
        <w:t xml:space="preserve"> Taip pat įstatyme reglamentuotos savivaldybių skolos, skolinimosi ir garantijų limitai:</w:t>
      </w:r>
    </w:p>
    <w:p w14:paraId="3D234E58" w14:textId="77777777" w:rsidR="00D63D35" w:rsidRPr="002C7E94" w:rsidRDefault="00D63D35" w:rsidP="00E44266">
      <w:pPr>
        <w:jc w:val="both"/>
      </w:pPr>
      <w:r w:rsidRPr="00D63D35">
        <w:t> - savivaldybės skola (pagal įsipareigojamuosius skolos dokumentus, įskaitant paskolos, finansinės nuomos (lizingo) sutartis, bet neapsiribojant jomis) negali viršyti 60 procentų prognozuojamų savivaldybės biudžeto pajamų</w:t>
      </w:r>
      <w:r w:rsidR="006F610A">
        <w:t xml:space="preserve"> arba 9642 </w:t>
      </w:r>
      <w:bookmarkStart w:id="9" w:name="_Hlk30894890"/>
      <w:r w:rsidR="006F610A" w:rsidRPr="002C7E94">
        <w:t>tūkst. Eur</w:t>
      </w:r>
      <w:bookmarkEnd w:id="9"/>
      <w:r w:rsidR="004B0AD3">
        <w:t>;</w:t>
      </w:r>
    </w:p>
    <w:p w14:paraId="0E816009" w14:textId="77777777" w:rsidR="008B7453" w:rsidRPr="002C7E94" w:rsidRDefault="00D63D35" w:rsidP="00E44266">
      <w:pPr>
        <w:jc w:val="both"/>
      </w:pPr>
      <w:bookmarkStart w:id="10" w:name="_Hlk30894572"/>
      <w:r w:rsidRPr="002C7E94">
        <w:t> -</w:t>
      </w:r>
      <w:bookmarkEnd w:id="10"/>
      <w:r w:rsidRPr="002C7E94">
        <w:t xml:space="preserve"> savivaldybės metinio grynojo skolinimosi suma finansų ministro nustatyta tvarka atrinktiems projektams, kuriais prisidedama prie regiono ir (arba) savivaldybės socialinės ir ekonominės plėtros tikslų, nustatytų strateginio planavimo dokumentuose, ir mažinamos savivaldybės biudžeto išlaidos ir (arba) didinamos savivaldybės biudžeto pajamos, yra ne daugiau kaip </w:t>
      </w:r>
      <w:bookmarkStart w:id="11" w:name="_Hlk30894865"/>
      <w:r w:rsidR="006F610A" w:rsidRPr="002C7E94">
        <w:t>10</w:t>
      </w:r>
      <w:r w:rsidRPr="002C7E94">
        <w:t xml:space="preserve"> procent</w:t>
      </w:r>
      <w:r w:rsidR="004B0AD3">
        <w:t>ų</w:t>
      </w:r>
      <w:r w:rsidRPr="002C7E94">
        <w:t xml:space="preserve"> prognozuojamų savivaldybės biudžeto pajamų</w:t>
      </w:r>
      <w:bookmarkEnd w:id="11"/>
      <w:r w:rsidRPr="002C7E94">
        <w:t xml:space="preserve">, o visų savivaldybių bendra metinio grynojo skolinimosi suma šiems projektams yra ne daugiau kaip </w:t>
      </w:r>
      <w:r w:rsidR="006F610A" w:rsidRPr="002C7E94">
        <w:t>0,5</w:t>
      </w:r>
      <w:r w:rsidRPr="002C7E94">
        <w:t> procent</w:t>
      </w:r>
      <w:r w:rsidR="004B0AD3">
        <w:t>o</w:t>
      </w:r>
      <w:r w:rsidRPr="002C7E94">
        <w:t xml:space="preserve"> šio įstatymo 6 priede nurodytų prognozuojamų visų savivaldybių biudžetų pajamų. Kiekvienos savivaldybės biudžeto atitiktis Fiskalinės sutarties įgyvendinimo konstitucinio įstatymo nuostatoms turi būti pasiekta per ketverių metų laikotarpį, skaičiuojant nuo pirmų metų, kai pradedama naudoti metinio grynojo skolinimosi suma</w:t>
      </w:r>
      <w:r w:rsidR="004B0AD3">
        <w:t>;</w:t>
      </w:r>
    </w:p>
    <w:p w14:paraId="144DF97C" w14:textId="77777777" w:rsidR="006F610A" w:rsidRPr="00DB179D" w:rsidRDefault="006F610A" w:rsidP="00E44266">
      <w:pPr>
        <w:jc w:val="both"/>
      </w:pPr>
      <w:r w:rsidRPr="002C7E94">
        <w:t> -savivaldybės prisiimti įsipareigojimai pagal garantijas dėl savivaldybės</w:t>
      </w:r>
      <w:r w:rsidR="00E610F0" w:rsidRPr="002C7E94">
        <w:t xml:space="preserve"> valdomų įmonių prisiimtų, bet dar neįvykdytų įsipareigojimų grąžinti kreditoriams lėšas pagal paskolų sutartis, finansinės nuomos (lizingo) sutartis, kitus įsipareigojamuosius skolos dokumentus negali viršyti 10 procent</w:t>
      </w:r>
      <w:r w:rsidR="004B0AD3">
        <w:t>ų</w:t>
      </w:r>
      <w:r w:rsidR="00E610F0" w:rsidRPr="002C7E94">
        <w:t xml:space="preserve"> prognozuojamų savivaldybės biudžeto pajamų arba 1607 tūkst. Eur.</w:t>
      </w:r>
    </w:p>
    <w:p w14:paraId="0E68D714" w14:textId="77777777" w:rsidR="00E610F0" w:rsidRDefault="00E44266" w:rsidP="000B6D77">
      <w:pPr>
        <w:ind w:firstLine="1296"/>
        <w:jc w:val="both"/>
        <w:rPr>
          <w:b/>
          <w:sz w:val="28"/>
          <w:szCs w:val="28"/>
        </w:rPr>
      </w:pPr>
      <w:r w:rsidRPr="00787461">
        <w:rPr>
          <w:b/>
          <w:sz w:val="28"/>
          <w:szCs w:val="28"/>
        </w:rPr>
        <w:t>Planuojamos savivaldybės 20</w:t>
      </w:r>
      <w:r w:rsidR="00E610F0">
        <w:rPr>
          <w:b/>
          <w:sz w:val="28"/>
          <w:szCs w:val="28"/>
        </w:rPr>
        <w:t>20</w:t>
      </w:r>
      <w:r w:rsidRPr="00787461">
        <w:rPr>
          <w:b/>
          <w:sz w:val="28"/>
          <w:szCs w:val="28"/>
        </w:rPr>
        <w:t xml:space="preserve"> metų skolinimosi pajamos projektams finansuoti – </w:t>
      </w:r>
      <w:r w:rsidR="00E610F0">
        <w:rPr>
          <w:b/>
          <w:sz w:val="28"/>
          <w:szCs w:val="28"/>
        </w:rPr>
        <w:t>316,527</w:t>
      </w:r>
      <w:r w:rsidRPr="00787461">
        <w:rPr>
          <w:b/>
          <w:sz w:val="28"/>
          <w:szCs w:val="28"/>
        </w:rPr>
        <w:t xml:space="preserve"> tūkst. Eur</w:t>
      </w:r>
      <w:r w:rsidR="00E610F0">
        <w:rPr>
          <w:b/>
          <w:sz w:val="28"/>
          <w:szCs w:val="28"/>
        </w:rPr>
        <w:t>.</w:t>
      </w:r>
    </w:p>
    <w:p w14:paraId="670FC340" w14:textId="77777777" w:rsidR="00E610F0" w:rsidRDefault="00E610F0" w:rsidP="000B6D77">
      <w:pPr>
        <w:ind w:firstLine="1296"/>
        <w:jc w:val="both"/>
        <w:rPr>
          <w:b/>
          <w:sz w:val="28"/>
          <w:szCs w:val="28"/>
        </w:rPr>
      </w:pPr>
      <w:r w:rsidRPr="00E610F0">
        <w:t>Taip pat savivaldybėms iškeliami reikalavimai dėl įsiskolinimų suvaldymo, t. y. savivaldybės 2021 m. sausio 1 d. esantis įsiskolinimas (mokėtinos sumos, išskyrus sumas paskoloms grąžinti) turi būti ne didesnis už 2020 m. sausio</w:t>
      </w:r>
      <w:r>
        <w:rPr>
          <w:sz w:val="30"/>
          <w:szCs w:val="30"/>
        </w:rPr>
        <w:t xml:space="preserve"> 1 d. įsiskolinimą (mokėtinas sumas, išskyrus sumas paskoloms grąžinti).</w:t>
      </w:r>
    </w:p>
    <w:p w14:paraId="62C255CD" w14:textId="77777777" w:rsidR="00856969" w:rsidRDefault="00E44266" w:rsidP="000B6D77">
      <w:pPr>
        <w:ind w:firstLine="1296"/>
        <w:jc w:val="both"/>
        <w:rPr>
          <w:b/>
          <w:sz w:val="28"/>
          <w:szCs w:val="28"/>
        </w:rPr>
      </w:pPr>
      <w:r w:rsidRPr="00787461">
        <w:rPr>
          <w:b/>
          <w:sz w:val="28"/>
          <w:szCs w:val="28"/>
        </w:rPr>
        <w:t xml:space="preserve"> </w:t>
      </w:r>
      <w:r w:rsidR="00E610F0">
        <w:rPr>
          <w:b/>
          <w:sz w:val="28"/>
          <w:szCs w:val="28"/>
        </w:rPr>
        <w:t>P</w:t>
      </w:r>
      <w:r w:rsidRPr="00787461">
        <w:rPr>
          <w:b/>
          <w:sz w:val="28"/>
          <w:szCs w:val="28"/>
        </w:rPr>
        <w:t>raėjusių metų biudžeto pajamų dalis, kuri viršija praėjusių metų panaudotus asignavimus</w:t>
      </w:r>
      <w:r w:rsidR="0000350E">
        <w:rPr>
          <w:b/>
          <w:sz w:val="28"/>
          <w:szCs w:val="28"/>
        </w:rPr>
        <w:t>,</w:t>
      </w:r>
      <w:r w:rsidRPr="00787461">
        <w:rPr>
          <w:b/>
          <w:sz w:val="28"/>
          <w:szCs w:val="28"/>
        </w:rPr>
        <w:t xml:space="preserve"> – </w:t>
      </w:r>
      <w:r w:rsidR="00E610F0">
        <w:rPr>
          <w:b/>
          <w:sz w:val="28"/>
          <w:szCs w:val="28"/>
        </w:rPr>
        <w:t>5881,370</w:t>
      </w:r>
      <w:r w:rsidRPr="00787461">
        <w:rPr>
          <w:b/>
          <w:sz w:val="28"/>
          <w:szCs w:val="28"/>
        </w:rPr>
        <w:t xml:space="preserve"> tūkst. Eur. </w:t>
      </w:r>
    </w:p>
    <w:p w14:paraId="5462745C" w14:textId="77777777" w:rsidR="001E57FE" w:rsidRPr="00856969" w:rsidRDefault="00E44266" w:rsidP="000B6D77">
      <w:pPr>
        <w:ind w:firstLine="1296"/>
        <w:jc w:val="both"/>
      </w:pPr>
      <w:r w:rsidRPr="00856969">
        <w:t>Savivaldybei gavus papildomas, įskaitant Europos Sąjungos ir kitos tarptautinės finansinės paramos lėšas, biudžetas bus tikslinamas.</w:t>
      </w:r>
      <w:r w:rsidR="001E57FE" w:rsidRPr="00856969">
        <w:t xml:space="preserve">  </w:t>
      </w:r>
    </w:p>
    <w:p w14:paraId="6016D3EC" w14:textId="77777777" w:rsidR="001E57FE" w:rsidRDefault="001E57FE" w:rsidP="001E57FE">
      <w:pPr>
        <w:pStyle w:val="Pagrindiniotekstotrauka"/>
        <w:ind w:firstLine="0"/>
        <w:rPr>
          <w:color w:val="000000"/>
        </w:rPr>
      </w:pPr>
      <w:r>
        <w:rPr>
          <w:color w:val="000000"/>
        </w:rPr>
        <w:tab/>
      </w:r>
      <w:r>
        <w:rPr>
          <w:color w:val="000000"/>
        </w:rPr>
        <w:tab/>
      </w:r>
    </w:p>
    <w:p w14:paraId="66CCF127" w14:textId="77777777" w:rsidR="00297AA7" w:rsidRPr="00B94EBC" w:rsidRDefault="005A790A" w:rsidP="00297AA7">
      <w:pPr>
        <w:jc w:val="center"/>
        <w:rPr>
          <w:b/>
          <w:color w:val="2F5496"/>
        </w:rPr>
      </w:pPr>
      <w:r w:rsidRPr="00B94EBC">
        <w:rPr>
          <w:b/>
          <w:color w:val="2F5496"/>
        </w:rPr>
        <w:t>20</w:t>
      </w:r>
      <w:r w:rsidR="00E610F0">
        <w:rPr>
          <w:b/>
          <w:color w:val="2F5496"/>
        </w:rPr>
        <w:t>20</w:t>
      </w:r>
      <w:r w:rsidRPr="00B94EBC">
        <w:rPr>
          <w:b/>
          <w:color w:val="2F5496"/>
        </w:rPr>
        <w:t xml:space="preserve"> m. s</w:t>
      </w:r>
      <w:r w:rsidR="00297AA7" w:rsidRPr="00B94EBC">
        <w:rPr>
          <w:b/>
          <w:color w:val="2F5496"/>
        </w:rPr>
        <w:t>avivaldybės biudžeto pajamos planuojamos pagal finansavimo šaltinius:</w:t>
      </w:r>
    </w:p>
    <w:p w14:paraId="5F4C5F00" w14:textId="77777777" w:rsidR="00B275F9" w:rsidRPr="00856969" w:rsidRDefault="00856969" w:rsidP="008E29B5">
      <w:pPr>
        <w:ind w:firstLine="1296"/>
        <w:jc w:val="both"/>
        <w:rPr>
          <w:color w:val="000000"/>
          <w:sz w:val="22"/>
          <w:szCs w:val="22"/>
        </w:rPr>
      </w:pPr>
      <w:r>
        <w:rPr>
          <w:b/>
          <w:color w:val="000000"/>
          <w:sz w:val="28"/>
          <w:szCs w:val="28"/>
        </w:rPr>
        <w:t xml:space="preserve">                                                                                                   </w:t>
      </w:r>
      <w:r w:rsidRPr="00856969">
        <w:rPr>
          <w:color w:val="000000"/>
          <w:sz w:val="22"/>
          <w:szCs w:val="22"/>
        </w:rPr>
        <w:t>Tūkst. Eur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1358"/>
        <w:gridCol w:w="1337"/>
        <w:gridCol w:w="1267"/>
        <w:gridCol w:w="1481"/>
        <w:gridCol w:w="1704"/>
      </w:tblGrid>
      <w:tr w:rsidR="00D867F7" w:rsidRPr="00297AA7" w14:paraId="7B63BB48" w14:textId="77777777" w:rsidTr="00483B1E">
        <w:trPr>
          <w:tblHeader/>
          <w:tblCellSpacing w:w="0" w:type="dxa"/>
        </w:trPr>
        <w:tc>
          <w:tcPr>
            <w:tcW w:w="2494" w:type="dxa"/>
            <w:vMerge w:val="restart"/>
            <w:tcBorders>
              <w:top w:val="outset" w:sz="6" w:space="0" w:color="auto"/>
              <w:left w:val="outset" w:sz="6" w:space="0" w:color="auto"/>
              <w:right w:val="outset" w:sz="6" w:space="0" w:color="auto"/>
            </w:tcBorders>
            <w:hideMark/>
          </w:tcPr>
          <w:p w14:paraId="0FE56A2E" w14:textId="77777777" w:rsidR="00D867F7" w:rsidRPr="00EF126A" w:rsidRDefault="00D867F7" w:rsidP="00297AA7">
            <w:pPr>
              <w:spacing w:before="100" w:beforeAutospacing="1" w:after="100" w:afterAutospacing="1"/>
              <w:jc w:val="center"/>
              <w:rPr>
                <w:b/>
              </w:rPr>
            </w:pPr>
            <w:bookmarkStart w:id="12" w:name="_Hlk172511"/>
            <w:r w:rsidRPr="00EF126A">
              <w:rPr>
                <w:b/>
              </w:rPr>
              <w:t>Finansavimo šaltinis</w:t>
            </w:r>
          </w:p>
        </w:tc>
        <w:tc>
          <w:tcPr>
            <w:tcW w:w="1361" w:type="dxa"/>
            <w:vMerge w:val="restart"/>
            <w:tcBorders>
              <w:top w:val="outset" w:sz="6" w:space="0" w:color="auto"/>
              <w:left w:val="outset" w:sz="6" w:space="0" w:color="auto"/>
              <w:right w:val="outset" w:sz="6" w:space="0" w:color="auto"/>
            </w:tcBorders>
          </w:tcPr>
          <w:p w14:paraId="6F271EC1" w14:textId="77777777" w:rsidR="00D867F7" w:rsidRPr="00EF126A" w:rsidRDefault="00D867F7" w:rsidP="00297AA7">
            <w:pPr>
              <w:spacing w:before="100" w:beforeAutospacing="1" w:after="100" w:afterAutospacing="1"/>
              <w:jc w:val="center"/>
              <w:rPr>
                <w:b/>
              </w:rPr>
            </w:pPr>
            <w:r w:rsidRPr="00EF126A">
              <w:rPr>
                <w:b/>
              </w:rPr>
              <w:t>20</w:t>
            </w:r>
            <w:r>
              <w:rPr>
                <w:b/>
              </w:rPr>
              <w:t>19</w:t>
            </w:r>
            <w:r w:rsidRPr="00EF126A">
              <w:rPr>
                <w:b/>
              </w:rPr>
              <w:t xml:space="preserve"> metų pat</w:t>
            </w:r>
            <w:r>
              <w:rPr>
                <w:b/>
              </w:rPr>
              <w:t>virti</w:t>
            </w:r>
            <w:r w:rsidRPr="00EF126A">
              <w:rPr>
                <w:b/>
              </w:rPr>
              <w:t>ntas planas</w:t>
            </w:r>
          </w:p>
        </w:tc>
        <w:tc>
          <w:tcPr>
            <w:tcW w:w="1339" w:type="dxa"/>
            <w:vMerge w:val="restart"/>
            <w:tcBorders>
              <w:top w:val="outset" w:sz="6" w:space="0" w:color="auto"/>
              <w:left w:val="outset" w:sz="6" w:space="0" w:color="auto"/>
              <w:right w:val="outset" w:sz="6" w:space="0" w:color="auto"/>
            </w:tcBorders>
            <w:hideMark/>
          </w:tcPr>
          <w:p w14:paraId="4AD3CD38" w14:textId="77777777" w:rsidR="00D867F7" w:rsidRPr="00EF126A" w:rsidRDefault="00D867F7" w:rsidP="00297AA7">
            <w:pPr>
              <w:spacing w:before="100" w:beforeAutospacing="1" w:after="100" w:afterAutospacing="1"/>
              <w:jc w:val="center"/>
              <w:rPr>
                <w:b/>
              </w:rPr>
            </w:pPr>
            <w:r w:rsidRPr="00EF126A">
              <w:rPr>
                <w:b/>
              </w:rPr>
              <w:t>20</w:t>
            </w:r>
            <w:r>
              <w:rPr>
                <w:b/>
              </w:rPr>
              <w:t>19</w:t>
            </w:r>
            <w:r w:rsidRPr="00EF126A">
              <w:rPr>
                <w:b/>
              </w:rPr>
              <w:t xml:space="preserve"> metų patikslintas planas</w:t>
            </w:r>
          </w:p>
        </w:tc>
        <w:tc>
          <w:tcPr>
            <w:tcW w:w="1271" w:type="dxa"/>
            <w:vMerge w:val="restart"/>
            <w:tcBorders>
              <w:top w:val="outset" w:sz="6" w:space="0" w:color="auto"/>
              <w:left w:val="outset" w:sz="6" w:space="0" w:color="auto"/>
              <w:right w:val="outset" w:sz="6" w:space="0" w:color="auto"/>
            </w:tcBorders>
            <w:hideMark/>
          </w:tcPr>
          <w:p w14:paraId="3A74C7F8" w14:textId="77777777" w:rsidR="00D867F7" w:rsidRPr="00EF126A" w:rsidRDefault="00D867F7" w:rsidP="00297AA7">
            <w:pPr>
              <w:spacing w:before="100" w:beforeAutospacing="1" w:after="100" w:afterAutospacing="1"/>
              <w:jc w:val="center"/>
              <w:rPr>
                <w:b/>
              </w:rPr>
            </w:pPr>
            <w:r w:rsidRPr="00EF126A">
              <w:rPr>
                <w:b/>
              </w:rPr>
              <w:t>20</w:t>
            </w:r>
            <w:r>
              <w:rPr>
                <w:b/>
              </w:rPr>
              <w:t>20</w:t>
            </w:r>
            <w:r w:rsidRPr="00EF126A">
              <w:rPr>
                <w:b/>
              </w:rPr>
              <w:t xml:space="preserve"> metų planas</w:t>
            </w:r>
          </w:p>
        </w:tc>
        <w:tc>
          <w:tcPr>
            <w:tcW w:w="3203" w:type="dxa"/>
            <w:gridSpan w:val="2"/>
            <w:tcBorders>
              <w:top w:val="outset" w:sz="6" w:space="0" w:color="auto"/>
              <w:left w:val="outset" w:sz="6" w:space="0" w:color="auto"/>
              <w:bottom w:val="outset" w:sz="6" w:space="0" w:color="auto"/>
              <w:right w:val="outset" w:sz="6" w:space="0" w:color="auto"/>
            </w:tcBorders>
          </w:tcPr>
          <w:p w14:paraId="2D283AC7" w14:textId="77777777" w:rsidR="00D867F7" w:rsidRPr="00EF126A" w:rsidRDefault="00D867F7" w:rsidP="00297AA7">
            <w:pPr>
              <w:spacing w:before="100" w:beforeAutospacing="1" w:after="100" w:afterAutospacing="1"/>
              <w:jc w:val="center"/>
              <w:rPr>
                <w:b/>
              </w:rPr>
            </w:pPr>
            <w:r w:rsidRPr="00EF126A">
              <w:rPr>
                <w:b/>
              </w:rPr>
              <w:t>Skirtumas</w:t>
            </w:r>
          </w:p>
        </w:tc>
      </w:tr>
      <w:tr w:rsidR="00D867F7" w:rsidRPr="00297AA7" w14:paraId="6419B651" w14:textId="77777777" w:rsidTr="00D867F7">
        <w:trPr>
          <w:tblHeader/>
          <w:tblCellSpacing w:w="0" w:type="dxa"/>
        </w:trPr>
        <w:tc>
          <w:tcPr>
            <w:tcW w:w="2494" w:type="dxa"/>
            <w:vMerge/>
            <w:tcBorders>
              <w:left w:val="outset" w:sz="6" w:space="0" w:color="auto"/>
              <w:bottom w:val="outset" w:sz="6" w:space="0" w:color="auto"/>
              <w:right w:val="outset" w:sz="6" w:space="0" w:color="auto"/>
            </w:tcBorders>
          </w:tcPr>
          <w:p w14:paraId="3C14B4F0" w14:textId="77777777" w:rsidR="00D867F7" w:rsidRPr="00EF126A" w:rsidRDefault="00D867F7" w:rsidP="00297AA7">
            <w:pPr>
              <w:spacing w:before="100" w:beforeAutospacing="1" w:after="100" w:afterAutospacing="1"/>
              <w:jc w:val="center"/>
              <w:rPr>
                <w:b/>
              </w:rPr>
            </w:pPr>
          </w:p>
        </w:tc>
        <w:tc>
          <w:tcPr>
            <w:tcW w:w="1361" w:type="dxa"/>
            <w:vMerge/>
            <w:tcBorders>
              <w:left w:val="outset" w:sz="6" w:space="0" w:color="auto"/>
              <w:bottom w:val="outset" w:sz="6" w:space="0" w:color="auto"/>
              <w:right w:val="outset" w:sz="6" w:space="0" w:color="auto"/>
            </w:tcBorders>
          </w:tcPr>
          <w:p w14:paraId="016E37BA" w14:textId="77777777" w:rsidR="00D867F7" w:rsidRPr="00EF126A" w:rsidRDefault="00D867F7" w:rsidP="00297AA7">
            <w:pPr>
              <w:spacing w:before="100" w:beforeAutospacing="1" w:after="100" w:afterAutospacing="1"/>
              <w:jc w:val="center"/>
              <w:rPr>
                <w:b/>
              </w:rPr>
            </w:pPr>
          </w:p>
        </w:tc>
        <w:tc>
          <w:tcPr>
            <w:tcW w:w="1339" w:type="dxa"/>
            <w:vMerge/>
            <w:tcBorders>
              <w:left w:val="outset" w:sz="6" w:space="0" w:color="auto"/>
              <w:bottom w:val="outset" w:sz="6" w:space="0" w:color="auto"/>
              <w:right w:val="outset" w:sz="6" w:space="0" w:color="auto"/>
            </w:tcBorders>
          </w:tcPr>
          <w:p w14:paraId="7C5C9A8E" w14:textId="77777777" w:rsidR="00D867F7" w:rsidRPr="00EF126A" w:rsidRDefault="00D867F7" w:rsidP="00297AA7">
            <w:pPr>
              <w:spacing w:before="100" w:beforeAutospacing="1" w:after="100" w:afterAutospacing="1"/>
              <w:jc w:val="center"/>
              <w:rPr>
                <w:b/>
              </w:rPr>
            </w:pPr>
          </w:p>
        </w:tc>
        <w:tc>
          <w:tcPr>
            <w:tcW w:w="1271" w:type="dxa"/>
            <w:vMerge/>
            <w:tcBorders>
              <w:left w:val="outset" w:sz="6" w:space="0" w:color="auto"/>
              <w:bottom w:val="outset" w:sz="6" w:space="0" w:color="auto"/>
              <w:right w:val="outset" w:sz="6" w:space="0" w:color="auto"/>
            </w:tcBorders>
          </w:tcPr>
          <w:p w14:paraId="07A23E70" w14:textId="77777777" w:rsidR="00D867F7" w:rsidRPr="00EF126A" w:rsidRDefault="00D867F7" w:rsidP="00297AA7">
            <w:pPr>
              <w:spacing w:before="100" w:beforeAutospacing="1" w:after="100" w:afterAutospacing="1"/>
              <w:jc w:val="center"/>
              <w:rPr>
                <w:b/>
              </w:rPr>
            </w:pPr>
          </w:p>
        </w:tc>
        <w:tc>
          <w:tcPr>
            <w:tcW w:w="1488" w:type="dxa"/>
            <w:tcBorders>
              <w:top w:val="outset" w:sz="6" w:space="0" w:color="auto"/>
              <w:left w:val="outset" w:sz="6" w:space="0" w:color="auto"/>
              <w:bottom w:val="outset" w:sz="6" w:space="0" w:color="auto"/>
              <w:right w:val="outset" w:sz="6" w:space="0" w:color="auto"/>
            </w:tcBorders>
          </w:tcPr>
          <w:p w14:paraId="76420FA6" w14:textId="77777777" w:rsidR="00D867F7" w:rsidRPr="00EF126A" w:rsidRDefault="00EC150E" w:rsidP="00297AA7">
            <w:pPr>
              <w:spacing w:before="100" w:beforeAutospacing="1" w:after="100" w:afterAutospacing="1"/>
              <w:jc w:val="center"/>
              <w:rPr>
                <w:b/>
              </w:rPr>
            </w:pPr>
            <w:r>
              <w:rPr>
                <w:b/>
              </w:rPr>
              <w:t>lyginant su 2019 m. patvirtint</w:t>
            </w:r>
            <w:r w:rsidR="004B0AD3">
              <w:rPr>
                <w:b/>
              </w:rPr>
              <w:t>u</w:t>
            </w:r>
            <w:r>
              <w:rPr>
                <w:b/>
              </w:rPr>
              <w:t xml:space="preserve"> plan</w:t>
            </w:r>
            <w:r w:rsidR="004B0AD3">
              <w:rPr>
                <w:b/>
              </w:rPr>
              <w:t>u</w:t>
            </w:r>
          </w:p>
        </w:tc>
        <w:tc>
          <w:tcPr>
            <w:tcW w:w="1715" w:type="dxa"/>
            <w:tcBorders>
              <w:top w:val="outset" w:sz="6" w:space="0" w:color="auto"/>
              <w:left w:val="outset" w:sz="6" w:space="0" w:color="auto"/>
              <w:bottom w:val="outset" w:sz="6" w:space="0" w:color="auto"/>
              <w:right w:val="outset" w:sz="6" w:space="0" w:color="auto"/>
            </w:tcBorders>
          </w:tcPr>
          <w:p w14:paraId="5F5F3FA6" w14:textId="77777777" w:rsidR="00D867F7" w:rsidRPr="00EF126A" w:rsidRDefault="00EC150E" w:rsidP="00297AA7">
            <w:pPr>
              <w:spacing w:before="100" w:beforeAutospacing="1" w:after="100" w:afterAutospacing="1"/>
              <w:jc w:val="center"/>
              <w:rPr>
                <w:b/>
              </w:rPr>
            </w:pPr>
            <w:r>
              <w:rPr>
                <w:b/>
              </w:rPr>
              <w:t>lyginant su 2019 m. patikslint</w:t>
            </w:r>
            <w:r w:rsidR="004B0AD3">
              <w:rPr>
                <w:b/>
              </w:rPr>
              <w:t>u</w:t>
            </w:r>
            <w:r>
              <w:rPr>
                <w:b/>
              </w:rPr>
              <w:t xml:space="preserve"> plan</w:t>
            </w:r>
            <w:r w:rsidR="004B0AD3">
              <w:rPr>
                <w:b/>
              </w:rPr>
              <w:t>u</w:t>
            </w:r>
          </w:p>
        </w:tc>
      </w:tr>
      <w:tr w:rsidR="00D867F7" w:rsidRPr="00297AA7" w14:paraId="7B9B729A" w14:textId="77777777" w:rsidTr="00D867F7">
        <w:trPr>
          <w:tblCellSpacing w:w="0" w:type="dxa"/>
        </w:trPr>
        <w:tc>
          <w:tcPr>
            <w:tcW w:w="2494" w:type="dxa"/>
            <w:tcBorders>
              <w:top w:val="outset" w:sz="6" w:space="0" w:color="auto"/>
              <w:left w:val="outset" w:sz="6" w:space="0" w:color="auto"/>
              <w:bottom w:val="outset" w:sz="6" w:space="0" w:color="auto"/>
              <w:right w:val="outset" w:sz="6" w:space="0" w:color="auto"/>
            </w:tcBorders>
            <w:hideMark/>
          </w:tcPr>
          <w:p w14:paraId="49743AA9" w14:textId="77777777" w:rsidR="00D867F7" w:rsidRPr="00297AA7" w:rsidRDefault="00D867F7" w:rsidP="002B11DD">
            <w:pPr>
              <w:spacing w:before="100" w:beforeAutospacing="1" w:after="100" w:afterAutospacing="1"/>
            </w:pPr>
            <w:r w:rsidRPr="00297AA7">
              <w:t>Savivaldybės biudžeto pajamos savarankiškoms funkcijoms vykdyti</w:t>
            </w:r>
          </w:p>
        </w:tc>
        <w:tc>
          <w:tcPr>
            <w:tcW w:w="1361" w:type="dxa"/>
            <w:tcBorders>
              <w:top w:val="outset" w:sz="6" w:space="0" w:color="auto"/>
              <w:left w:val="outset" w:sz="6" w:space="0" w:color="auto"/>
              <w:bottom w:val="outset" w:sz="6" w:space="0" w:color="auto"/>
              <w:right w:val="outset" w:sz="6" w:space="0" w:color="auto"/>
            </w:tcBorders>
          </w:tcPr>
          <w:p w14:paraId="0AFB3B31" w14:textId="77777777" w:rsidR="00D867F7" w:rsidRPr="00C81477" w:rsidRDefault="00D867F7" w:rsidP="002B11DD">
            <w:pPr>
              <w:jc w:val="center"/>
            </w:pPr>
            <w:r w:rsidRPr="00C81477">
              <w:t>15525,69</w:t>
            </w:r>
          </w:p>
        </w:tc>
        <w:tc>
          <w:tcPr>
            <w:tcW w:w="1339" w:type="dxa"/>
            <w:tcBorders>
              <w:top w:val="outset" w:sz="6" w:space="0" w:color="auto"/>
              <w:left w:val="outset" w:sz="6" w:space="0" w:color="auto"/>
              <w:bottom w:val="outset" w:sz="6" w:space="0" w:color="auto"/>
              <w:right w:val="outset" w:sz="6" w:space="0" w:color="auto"/>
            </w:tcBorders>
            <w:hideMark/>
          </w:tcPr>
          <w:p w14:paraId="631A7973" w14:textId="77777777" w:rsidR="00D867F7" w:rsidRPr="00D867F7" w:rsidRDefault="00D867F7" w:rsidP="002B11DD">
            <w:pPr>
              <w:spacing w:before="100" w:beforeAutospacing="1" w:after="100" w:afterAutospacing="1"/>
              <w:jc w:val="center"/>
            </w:pPr>
            <w:r w:rsidRPr="00D867F7">
              <w:t>15565,69</w:t>
            </w:r>
          </w:p>
        </w:tc>
        <w:tc>
          <w:tcPr>
            <w:tcW w:w="1271" w:type="dxa"/>
            <w:tcBorders>
              <w:top w:val="outset" w:sz="6" w:space="0" w:color="auto"/>
              <w:left w:val="outset" w:sz="6" w:space="0" w:color="auto"/>
              <w:bottom w:val="outset" w:sz="6" w:space="0" w:color="auto"/>
              <w:right w:val="outset" w:sz="6" w:space="0" w:color="auto"/>
            </w:tcBorders>
            <w:hideMark/>
          </w:tcPr>
          <w:p w14:paraId="09B228E4" w14:textId="77777777" w:rsidR="00D867F7" w:rsidRPr="00E205D7" w:rsidRDefault="00890669" w:rsidP="002B11DD">
            <w:pPr>
              <w:spacing w:before="100" w:beforeAutospacing="1" w:after="100" w:afterAutospacing="1"/>
              <w:jc w:val="center"/>
            </w:pPr>
            <w:r w:rsidRPr="00E205D7">
              <w:t>16139,70</w:t>
            </w:r>
          </w:p>
        </w:tc>
        <w:tc>
          <w:tcPr>
            <w:tcW w:w="1488" w:type="dxa"/>
            <w:tcBorders>
              <w:top w:val="outset" w:sz="6" w:space="0" w:color="auto"/>
              <w:left w:val="outset" w:sz="6" w:space="0" w:color="auto"/>
              <w:bottom w:val="outset" w:sz="6" w:space="0" w:color="auto"/>
              <w:right w:val="outset" w:sz="6" w:space="0" w:color="auto"/>
            </w:tcBorders>
          </w:tcPr>
          <w:p w14:paraId="12D76CD3" w14:textId="77777777" w:rsidR="00D867F7" w:rsidRPr="00297AA7" w:rsidRDefault="00EC150E" w:rsidP="002B11DD">
            <w:pPr>
              <w:spacing w:before="100" w:beforeAutospacing="1" w:after="100" w:afterAutospacing="1"/>
              <w:jc w:val="center"/>
            </w:pPr>
            <w:r>
              <w:t>+614,01</w:t>
            </w:r>
          </w:p>
        </w:tc>
        <w:tc>
          <w:tcPr>
            <w:tcW w:w="1715" w:type="dxa"/>
            <w:tcBorders>
              <w:top w:val="outset" w:sz="6" w:space="0" w:color="auto"/>
              <w:left w:val="outset" w:sz="6" w:space="0" w:color="auto"/>
              <w:bottom w:val="outset" w:sz="6" w:space="0" w:color="auto"/>
              <w:right w:val="outset" w:sz="6" w:space="0" w:color="auto"/>
            </w:tcBorders>
            <w:hideMark/>
          </w:tcPr>
          <w:p w14:paraId="6D76A4C1" w14:textId="77777777" w:rsidR="00D867F7" w:rsidRPr="00297AA7" w:rsidRDefault="00890669" w:rsidP="002B11DD">
            <w:pPr>
              <w:spacing w:before="100" w:beforeAutospacing="1" w:after="100" w:afterAutospacing="1"/>
              <w:jc w:val="center"/>
            </w:pPr>
            <w:r>
              <w:t>+574,01</w:t>
            </w:r>
          </w:p>
        </w:tc>
      </w:tr>
      <w:tr w:rsidR="00D867F7" w:rsidRPr="00297AA7" w14:paraId="2A42C2EC" w14:textId="77777777" w:rsidTr="00D867F7">
        <w:trPr>
          <w:tblCellSpacing w:w="0" w:type="dxa"/>
        </w:trPr>
        <w:tc>
          <w:tcPr>
            <w:tcW w:w="2494" w:type="dxa"/>
            <w:tcBorders>
              <w:top w:val="outset" w:sz="6" w:space="0" w:color="auto"/>
              <w:left w:val="outset" w:sz="6" w:space="0" w:color="auto"/>
              <w:bottom w:val="outset" w:sz="6" w:space="0" w:color="auto"/>
              <w:right w:val="outset" w:sz="6" w:space="0" w:color="auto"/>
            </w:tcBorders>
            <w:hideMark/>
          </w:tcPr>
          <w:p w14:paraId="15886CC4" w14:textId="77777777" w:rsidR="00D867F7" w:rsidRPr="00297AA7" w:rsidRDefault="00D867F7" w:rsidP="002B11DD">
            <w:pPr>
              <w:spacing w:before="100" w:beforeAutospacing="1" w:after="100" w:afterAutospacing="1"/>
            </w:pPr>
            <w:r w:rsidRPr="00297AA7">
              <w:t>Vietinė rinkliava už komunalinių atliekų surinkimą iš atliekų turėtojų ir atliekų tvarkymą</w:t>
            </w:r>
          </w:p>
        </w:tc>
        <w:tc>
          <w:tcPr>
            <w:tcW w:w="1361" w:type="dxa"/>
            <w:tcBorders>
              <w:top w:val="outset" w:sz="6" w:space="0" w:color="auto"/>
              <w:left w:val="outset" w:sz="6" w:space="0" w:color="auto"/>
              <w:bottom w:val="outset" w:sz="6" w:space="0" w:color="auto"/>
              <w:right w:val="outset" w:sz="6" w:space="0" w:color="auto"/>
            </w:tcBorders>
          </w:tcPr>
          <w:p w14:paraId="2DC1678E" w14:textId="77777777" w:rsidR="00D867F7" w:rsidRPr="00C81477" w:rsidRDefault="00D867F7" w:rsidP="002B11DD">
            <w:pPr>
              <w:jc w:val="center"/>
            </w:pPr>
            <w:r w:rsidRPr="00C81477">
              <w:t>550,0</w:t>
            </w:r>
          </w:p>
        </w:tc>
        <w:tc>
          <w:tcPr>
            <w:tcW w:w="1339" w:type="dxa"/>
            <w:tcBorders>
              <w:top w:val="outset" w:sz="6" w:space="0" w:color="auto"/>
              <w:left w:val="outset" w:sz="6" w:space="0" w:color="auto"/>
              <w:bottom w:val="outset" w:sz="6" w:space="0" w:color="auto"/>
              <w:right w:val="outset" w:sz="6" w:space="0" w:color="auto"/>
            </w:tcBorders>
            <w:hideMark/>
          </w:tcPr>
          <w:p w14:paraId="6FAE8FF2" w14:textId="77777777" w:rsidR="00D867F7" w:rsidRPr="00D867F7" w:rsidRDefault="00D867F7" w:rsidP="002B11DD">
            <w:pPr>
              <w:spacing w:before="100" w:beforeAutospacing="1" w:after="100" w:afterAutospacing="1"/>
              <w:jc w:val="center"/>
            </w:pPr>
            <w:r w:rsidRPr="00D867F7">
              <w:t>550,0</w:t>
            </w:r>
          </w:p>
        </w:tc>
        <w:tc>
          <w:tcPr>
            <w:tcW w:w="1271" w:type="dxa"/>
            <w:tcBorders>
              <w:top w:val="outset" w:sz="6" w:space="0" w:color="auto"/>
              <w:left w:val="outset" w:sz="6" w:space="0" w:color="auto"/>
              <w:bottom w:val="outset" w:sz="6" w:space="0" w:color="auto"/>
              <w:right w:val="outset" w:sz="6" w:space="0" w:color="auto"/>
            </w:tcBorders>
            <w:hideMark/>
          </w:tcPr>
          <w:p w14:paraId="16D51D32" w14:textId="77777777" w:rsidR="00D867F7" w:rsidRPr="00E205D7" w:rsidRDefault="00D867F7" w:rsidP="002B11DD">
            <w:pPr>
              <w:spacing w:before="100" w:beforeAutospacing="1" w:after="100" w:afterAutospacing="1"/>
              <w:jc w:val="center"/>
            </w:pPr>
            <w:r w:rsidRPr="00E205D7">
              <w:t>623,0</w:t>
            </w:r>
          </w:p>
        </w:tc>
        <w:tc>
          <w:tcPr>
            <w:tcW w:w="1488" w:type="dxa"/>
            <w:tcBorders>
              <w:top w:val="outset" w:sz="6" w:space="0" w:color="auto"/>
              <w:left w:val="outset" w:sz="6" w:space="0" w:color="auto"/>
              <w:bottom w:val="outset" w:sz="6" w:space="0" w:color="auto"/>
              <w:right w:val="outset" w:sz="6" w:space="0" w:color="auto"/>
            </w:tcBorders>
          </w:tcPr>
          <w:p w14:paraId="08CDB865" w14:textId="77777777" w:rsidR="00D867F7" w:rsidRDefault="00EC150E" w:rsidP="002B11DD">
            <w:pPr>
              <w:spacing w:before="100" w:beforeAutospacing="1" w:after="100" w:afterAutospacing="1"/>
              <w:jc w:val="center"/>
            </w:pPr>
            <w:r>
              <w:t>+73,0</w:t>
            </w:r>
          </w:p>
        </w:tc>
        <w:tc>
          <w:tcPr>
            <w:tcW w:w="1715" w:type="dxa"/>
            <w:tcBorders>
              <w:top w:val="outset" w:sz="6" w:space="0" w:color="auto"/>
              <w:left w:val="outset" w:sz="6" w:space="0" w:color="auto"/>
              <w:bottom w:val="outset" w:sz="6" w:space="0" w:color="auto"/>
              <w:right w:val="outset" w:sz="6" w:space="0" w:color="auto"/>
            </w:tcBorders>
            <w:hideMark/>
          </w:tcPr>
          <w:p w14:paraId="5727BB21" w14:textId="77777777" w:rsidR="00D867F7" w:rsidRPr="00297AA7" w:rsidRDefault="00D867F7" w:rsidP="002B11DD">
            <w:pPr>
              <w:spacing w:before="100" w:beforeAutospacing="1" w:after="100" w:afterAutospacing="1"/>
              <w:jc w:val="center"/>
            </w:pPr>
            <w:r>
              <w:t>+73,0</w:t>
            </w:r>
          </w:p>
        </w:tc>
      </w:tr>
      <w:tr w:rsidR="00D867F7" w:rsidRPr="00297AA7" w14:paraId="71ADE07D" w14:textId="77777777" w:rsidTr="00D867F7">
        <w:trPr>
          <w:tblCellSpacing w:w="0" w:type="dxa"/>
        </w:trPr>
        <w:tc>
          <w:tcPr>
            <w:tcW w:w="2494" w:type="dxa"/>
            <w:tcBorders>
              <w:top w:val="outset" w:sz="6" w:space="0" w:color="auto"/>
              <w:left w:val="outset" w:sz="6" w:space="0" w:color="auto"/>
              <w:bottom w:val="outset" w:sz="6" w:space="0" w:color="auto"/>
              <w:right w:val="outset" w:sz="6" w:space="0" w:color="auto"/>
            </w:tcBorders>
            <w:hideMark/>
          </w:tcPr>
          <w:p w14:paraId="5E3C9AB8" w14:textId="77777777" w:rsidR="00D867F7" w:rsidRPr="00297AA7" w:rsidRDefault="00D867F7" w:rsidP="002B11DD">
            <w:pPr>
              <w:spacing w:before="100" w:beforeAutospacing="1" w:after="100" w:afterAutospacing="1"/>
            </w:pPr>
            <w:r w:rsidRPr="00297AA7">
              <w:t>Biudžetinių įstaigų pajamos už paslaugas</w:t>
            </w:r>
          </w:p>
        </w:tc>
        <w:tc>
          <w:tcPr>
            <w:tcW w:w="1361" w:type="dxa"/>
            <w:tcBorders>
              <w:top w:val="outset" w:sz="6" w:space="0" w:color="auto"/>
              <w:left w:val="outset" w:sz="6" w:space="0" w:color="auto"/>
              <w:bottom w:val="outset" w:sz="6" w:space="0" w:color="auto"/>
              <w:right w:val="outset" w:sz="6" w:space="0" w:color="auto"/>
            </w:tcBorders>
          </w:tcPr>
          <w:p w14:paraId="56086D84" w14:textId="77777777" w:rsidR="00D867F7" w:rsidRPr="00C81477" w:rsidRDefault="00D867F7" w:rsidP="002B11DD">
            <w:pPr>
              <w:jc w:val="center"/>
            </w:pPr>
            <w:r w:rsidRPr="00C81477">
              <w:t>1168,660</w:t>
            </w:r>
          </w:p>
        </w:tc>
        <w:tc>
          <w:tcPr>
            <w:tcW w:w="1339" w:type="dxa"/>
            <w:tcBorders>
              <w:top w:val="outset" w:sz="6" w:space="0" w:color="auto"/>
              <w:left w:val="outset" w:sz="6" w:space="0" w:color="auto"/>
              <w:bottom w:val="outset" w:sz="6" w:space="0" w:color="auto"/>
              <w:right w:val="outset" w:sz="6" w:space="0" w:color="auto"/>
            </w:tcBorders>
            <w:hideMark/>
          </w:tcPr>
          <w:p w14:paraId="1C5E57A4" w14:textId="77777777" w:rsidR="00D867F7" w:rsidRPr="00D867F7" w:rsidRDefault="00D867F7" w:rsidP="002B11DD">
            <w:pPr>
              <w:spacing w:before="100" w:beforeAutospacing="1" w:after="100" w:afterAutospacing="1"/>
              <w:jc w:val="center"/>
            </w:pPr>
            <w:r w:rsidRPr="00D867F7">
              <w:t>1228,602</w:t>
            </w:r>
          </w:p>
        </w:tc>
        <w:tc>
          <w:tcPr>
            <w:tcW w:w="1271" w:type="dxa"/>
            <w:tcBorders>
              <w:top w:val="outset" w:sz="6" w:space="0" w:color="auto"/>
              <w:left w:val="outset" w:sz="6" w:space="0" w:color="auto"/>
              <w:bottom w:val="outset" w:sz="6" w:space="0" w:color="auto"/>
              <w:right w:val="outset" w:sz="6" w:space="0" w:color="auto"/>
            </w:tcBorders>
            <w:hideMark/>
          </w:tcPr>
          <w:p w14:paraId="6A54FDA0" w14:textId="77777777" w:rsidR="00D867F7" w:rsidRPr="00E205D7" w:rsidRDefault="00D867F7" w:rsidP="002B11DD">
            <w:pPr>
              <w:spacing w:before="100" w:beforeAutospacing="1" w:after="100" w:afterAutospacing="1"/>
              <w:jc w:val="center"/>
            </w:pPr>
            <w:r w:rsidRPr="00E205D7">
              <w:t>1252,000</w:t>
            </w:r>
          </w:p>
        </w:tc>
        <w:tc>
          <w:tcPr>
            <w:tcW w:w="1488" w:type="dxa"/>
            <w:tcBorders>
              <w:top w:val="outset" w:sz="6" w:space="0" w:color="auto"/>
              <w:left w:val="outset" w:sz="6" w:space="0" w:color="auto"/>
              <w:bottom w:val="outset" w:sz="6" w:space="0" w:color="auto"/>
              <w:right w:val="outset" w:sz="6" w:space="0" w:color="auto"/>
            </w:tcBorders>
          </w:tcPr>
          <w:p w14:paraId="5992D52A" w14:textId="77777777" w:rsidR="00D867F7" w:rsidRDefault="00EC150E" w:rsidP="002B11DD">
            <w:pPr>
              <w:spacing w:before="100" w:beforeAutospacing="1" w:after="100" w:afterAutospacing="1"/>
              <w:jc w:val="center"/>
            </w:pPr>
            <w:r>
              <w:t>+83,340</w:t>
            </w:r>
          </w:p>
        </w:tc>
        <w:tc>
          <w:tcPr>
            <w:tcW w:w="1715" w:type="dxa"/>
            <w:tcBorders>
              <w:top w:val="outset" w:sz="6" w:space="0" w:color="auto"/>
              <w:left w:val="outset" w:sz="6" w:space="0" w:color="auto"/>
              <w:bottom w:val="outset" w:sz="6" w:space="0" w:color="auto"/>
              <w:right w:val="outset" w:sz="6" w:space="0" w:color="auto"/>
            </w:tcBorders>
            <w:hideMark/>
          </w:tcPr>
          <w:p w14:paraId="710897A1" w14:textId="77777777" w:rsidR="00D867F7" w:rsidRPr="00297AA7" w:rsidRDefault="00D867F7" w:rsidP="002B11DD">
            <w:pPr>
              <w:spacing w:before="100" w:beforeAutospacing="1" w:after="100" w:afterAutospacing="1"/>
              <w:jc w:val="center"/>
            </w:pPr>
            <w:r>
              <w:t>+23,398</w:t>
            </w:r>
          </w:p>
        </w:tc>
      </w:tr>
      <w:tr w:rsidR="00D867F7" w:rsidRPr="00297AA7" w14:paraId="688D81BE" w14:textId="77777777" w:rsidTr="00D867F7">
        <w:trPr>
          <w:tblCellSpacing w:w="0" w:type="dxa"/>
        </w:trPr>
        <w:tc>
          <w:tcPr>
            <w:tcW w:w="2494" w:type="dxa"/>
            <w:tcBorders>
              <w:top w:val="outset" w:sz="6" w:space="0" w:color="auto"/>
              <w:left w:val="outset" w:sz="6" w:space="0" w:color="auto"/>
              <w:bottom w:val="outset" w:sz="6" w:space="0" w:color="auto"/>
              <w:right w:val="outset" w:sz="6" w:space="0" w:color="auto"/>
            </w:tcBorders>
            <w:hideMark/>
          </w:tcPr>
          <w:p w14:paraId="368A15EB" w14:textId="77777777" w:rsidR="00D867F7" w:rsidRPr="00297AA7" w:rsidRDefault="00D867F7" w:rsidP="002B11DD">
            <w:pPr>
              <w:spacing w:before="100" w:beforeAutospacing="1" w:after="100" w:afterAutospacing="1"/>
            </w:pPr>
            <w:r w:rsidRPr="00297AA7">
              <w:lastRenderedPageBreak/>
              <w:t>Aplinkos apsaugos specialioji programa</w:t>
            </w:r>
          </w:p>
        </w:tc>
        <w:tc>
          <w:tcPr>
            <w:tcW w:w="1361" w:type="dxa"/>
            <w:tcBorders>
              <w:top w:val="outset" w:sz="6" w:space="0" w:color="auto"/>
              <w:left w:val="outset" w:sz="6" w:space="0" w:color="auto"/>
              <w:bottom w:val="outset" w:sz="6" w:space="0" w:color="auto"/>
              <w:right w:val="outset" w:sz="6" w:space="0" w:color="auto"/>
            </w:tcBorders>
          </w:tcPr>
          <w:p w14:paraId="6A77B19C" w14:textId="77777777" w:rsidR="00D867F7" w:rsidRPr="00C81477" w:rsidRDefault="00D867F7" w:rsidP="002B11DD">
            <w:pPr>
              <w:jc w:val="center"/>
            </w:pPr>
            <w:r w:rsidRPr="00C81477">
              <w:t>39,0</w:t>
            </w:r>
          </w:p>
        </w:tc>
        <w:tc>
          <w:tcPr>
            <w:tcW w:w="1339" w:type="dxa"/>
            <w:tcBorders>
              <w:top w:val="outset" w:sz="6" w:space="0" w:color="auto"/>
              <w:left w:val="outset" w:sz="6" w:space="0" w:color="auto"/>
              <w:bottom w:val="outset" w:sz="6" w:space="0" w:color="auto"/>
              <w:right w:val="outset" w:sz="6" w:space="0" w:color="auto"/>
            </w:tcBorders>
            <w:hideMark/>
          </w:tcPr>
          <w:p w14:paraId="0CE59454" w14:textId="77777777" w:rsidR="00D867F7" w:rsidRPr="00D867F7" w:rsidRDefault="00D867F7" w:rsidP="002B11DD">
            <w:pPr>
              <w:spacing w:before="100" w:beforeAutospacing="1" w:after="100" w:afterAutospacing="1"/>
              <w:jc w:val="center"/>
            </w:pPr>
            <w:r w:rsidRPr="00D867F7">
              <w:t>39,0</w:t>
            </w:r>
          </w:p>
        </w:tc>
        <w:tc>
          <w:tcPr>
            <w:tcW w:w="1271" w:type="dxa"/>
            <w:tcBorders>
              <w:top w:val="outset" w:sz="6" w:space="0" w:color="auto"/>
              <w:left w:val="outset" w:sz="6" w:space="0" w:color="auto"/>
              <w:bottom w:val="outset" w:sz="6" w:space="0" w:color="auto"/>
              <w:right w:val="outset" w:sz="6" w:space="0" w:color="auto"/>
            </w:tcBorders>
            <w:hideMark/>
          </w:tcPr>
          <w:p w14:paraId="5E780825" w14:textId="77777777" w:rsidR="00D867F7" w:rsidRPr="00E205D7" w:rsidRDefault="00D867F7" w:rsidP="002B11DD">
            <w:pPr>
              <w:spacing w:before="100" w:beforeAutospacing="1" w:after="100" w:afterAutospacing="1"/>
              <w:jc w:val="center"/>
            </w:pPr>
            <w:r w:rsidRPr="00E205D7">
              <w:t>37,0</w:t>
            </w:r>
          </w:p>
        </w:tc>
        <w:tc>
          <w:tcPr>
            <w:tcW w:w="1488" w:type="dxa"/>
            <w:tcBorders>
              <w:top w:val="outset" w:sz="6" w:space="0" w:color="auto"/>
              <w:left w:val="outset" w:sz="6" w:space="0" w:color="auto"/>
              <w:bottom w:val="outset" w:sz="6" w:space="0" w:color="auto"/>
              <w:right w:val="outset" w:sz="6" w:space="0" w:color="auto"/>
            </w:tcBorders>
          </w:tcPr>
          <w:p w14:paraId="3DDD6508" w14:textId="77777777" w:rsidR="00D867F7" w:rsidRPr="00297AA7" w:rsidRDefault="00EC150E" w:rsidP="002B11DD">
            <w:pPr>
              <w:spacing w:before="100" w:beforeAutospacing="1" w:after="100" w:afterAutospacing="1"/>
              <w:jc w:val="center"/>
            </w:pPr>
            <w:r w:rsidRPr="00297AA7">
              <w:t>-</w:t>
            </w:r>
            <w:r>
              <w:t>2</w:t>
            </w:r>
            <w:r w:rsidRPr="00297AA7">
              <w:t>,0</w:t>
            </w:r>
          </w:p>
        </w:tc>
        <w:tc>
          <w:tcPr>
            <w:tcW w:w="1715" w:type="dxa"/>
            <w:tcBorders>
              <w:top w:val="outset" w:sz="6" w:space="0" w:color="auto"/>
              <w:left w:val="outset" w:sz="6" w:space="0" w:color="auto"/>
              <w:bottom w:val="outset" w:sz="6" w:space="0" w:color="auto"/>
              <w:right w:val="outset" w:sz="6" w:space="0" w:color="auto"/>
            </w:tcBorders>
            <w:hideMark/>
          </w:tcPr>
          <w:p w14:paraId="7179CBD4" w14:textId="77777777" w:rsidR="00D867F7" w:rsidRPr="00297AA7" w:rsidRDefault="00D867F7" w:rsidP="002B11DD">
            <w:pPr>
              <w:spacing w:before="100" w:beforeAutospacing="1" w:after="100" w:afterAutospacing="1"/>
              <w:jc w:val="center"/>
            </w:pPr>
            <w:r w:rsidRPr="00297AA7">
              <w:t>-</w:t>
            </w:r>
            <w:r>
              <w:t>2</w:t>
            </w:r>
            <w:r w:rsidRPr="00297AA7">
              <w:t>,0</w:t>
            </w:r>
          </w:p>
        </w:tc>
      </w:tr>
      <w:tr w:rsidR="00D867F7" w:rsidRPr="00297AA7" w14:paraId="68131DCF" w14:textId="77777777" w:rsidTr="00D867F7">
        <w:trPr>
          <w:tblCellSpacing w:w="0" w:type="dxa"/>
        </w:trPr>
        <w:tc>
          <w:tcPr>
            <w:tcW w:w="2494" w:type="dxa"/>
            <w:tcBorders>
              <w:top w:val="outset" w:sz="6" w:space="0" w:color="auto"/>
              <w:left w:val="outset" w:sz="6" w:space="0" w:color="auto"/>
              <w:bottom w:val="outset" w:sz="6" w:space="0" w:color="auto"/>
              <w:right w:val="outset" w:sz="6" w:space="0" w:color="auto"/>
            </w:tcBorders>
            <w:hideMark/>
          </w:tcPr>
          <w:p w14:paraId="17B74E70" w14:textId="77777777" w:rsidR="00D867F7" w:rsidRPr="00297AA7" w:rsidRDefault="00D867F7" w:rsidP="002B11DD">
            <w:pPr>
              <w:spacing w:before="100" w:beforeAutospacing="1" w:after="100" w:afterAutospacing="1"/>
            </w:pPr>
            <w:r w:rsidRPr="00297AA7">
              <w:t>Europos Sąjungos finansinės paramos lėšos</w:t>
            </w:r>
          </w:p>
        </w:tc>
        <w:tc>
          <w:tcPr>
            <w:tcW w:w="1361" w:type="dxa"/>
            <w:tcBorders>
              <w:top w:val="outset" w:sz="6" w:space="0" w:color="auto"/>
              <w:left w:val="outset" w:sz="6" w:space="0" w:color="auto"/>
              <w:bottom w:val="outset" w:sz="6" w:space="0" w:color="auto"/>
              <w:right w:val="outset" w:sz="6" w:space="0" w:color="auto"/>
            </w:tcBorders>
          </w:tcPr>
          <w:p w14:paraId="6E48CE31" w14:textId="77777777" w:rsidR="00D867F7" w:rsidRPr="00C81477" w:rsidRDefault="00D867F7" w:rsidP="002B11DD">
            <w:pPr>
              <w:jc w:val="center"/>
            </w:pPr>
            <w:r>
              <w:t>649,919</w:t>
            </w:r>
          </w:p>
        </w:tc>
        <w:tc>
          <w:tcPr>
            <w:tcW w:w="1339" w:type="dxa"/>
            <w:tcBorders>
              <w:top w:val="outset" w:sz="6" w:space="0" w:color="auto"/>
              <w:left w:val="outset" w:sz="6" w:space="0" w:color="auto"/>
              <w:bottom w:val="outset" w:sz="6" w:space="0" w:color="auto"/>
              <w:right w:val="outset" w:sz="6" w:space="0" w:color="auto"/>
            </w:tcBorders>
            <w:hideMark/>
          </w:tcPr>
          <w:p w14:paraId="7A1B0DC8" w14:textId="77777777" w:rsidR="00D867F7" w:rsidRPr="00D867F7" w:rsidRDefault="00D867F7" w:rsidP="002B11DD">
            <w:pPr>
              <w:spacing w:before="100" w:beforeAutospacing="1" w:after="100" w:afterAutospacing="1"/>
              <w:jc w:val="center"/>
            </w:pPr>
            <w:r w:rsidRPr="00D867F7">
              <w:t>2769,017</w:t>
            </w:r>
          </w:p>
        </w:tc>
        <w:tc>
          <w:tcPr>
            <w:tcW w:w="1271" w:type="dxa"/>
            <w:tcBorders>
              <w:top w:val="outset" w:sz="6" w:space="0" w:color="auto"/>
              <w:left w:val="outset" w:sz="6" w:space="0" w:color="auto"/>
              <w:bottom w:val="outset" w:sz="6" w:space="0" w:color="auto"/>
              <w:right w:val="outset" w:sz="6" w:space="0" w:color="auto"/>
            </w:tcBorders>
            <w:hideMark/>
          </w:tcPr>
          <w:p w14:paraId="7AECA5B8" w14:textId="77777777" w:rsidR="00D867F7" w:rsidRPr="00E205D7" w:rsidRDefault="00D867F7" w:rsidP="002B11DD">
            <w:pPr>
              <w:spacing w:before="100" w:beforeAutospacing="1" w:after="100" w:afterAutospacing="1"/>
              <w:jc w:val="center"/>
            </w:pPr>
            <w:r w:rsidRPr="00E205D7">
              <w:t>40,140</w:t>
            </w:r>
          </w:p>
        </w:tc>
        <w:tc>
          <w:tcPr>
            <w:tcW w:w="1488" w:type="dxa"/>
            <w:tcBorders>
              <w:top w:val="outset" w:sz="6" w:space="0" w:color="auto"/>
              <w:left w:val="outset" w:sz="6" w:space="0" w:color="auto"/>
              <w:bottom w:val="outset" w:sz="6" w:space="0" w:color="auto"/>
              <w:right w:val="outset" w:sz="6" w:space="0" w:color="auto"/>
            </w:tcBorders>
          </w:tcPr>
          <w:p w14:paraId="639E6B9E" w14:textId="77777777" w:rsidR="00D867F7" w:rsidRPr="00297AA7" w:rsidRDefault="00EC150E" w:rsidP="002B11DD">
            <w:pPr>
              <w:spacing w:before="100" w:beforeAutospacing="1" w:after="100" w:afterAutospacing="1"/>
              <w:jc w:val="center"/>
            </w:pPr>
            <w:r>
              <w:t>-609,779</w:t>
            </w:r>
          </w:p>
        </w:tc>
        <w:tc>
          <w:tcPr>
            <w:tcW w:w="1715" w:type="dxa"/>
            <w:tcBorders>
              <w:top w:val="outset" w:sz="6" w:space="0" w:color="auto"/>
              <w:left w:val="outset" w:sz="6" w:space="0" w:color="auto"/>
              <w:bottom w:val="outset" w:sz="6" w:space="0" w:color="auto"/>
              <w:right w:val="outset" w:sz="6" w:space="0" w:color="auto"/>
            </w:tcBorders>
            <w:hideMark/>
          </w:tcPr>
          <w:p w14:paraId="4F937C44" w14:textId="77777777" w:rsidR="00D867F7" w:rsidRPr="00297AA7" w:rsidRDefault="00D867F7" w:rsidP="002B11DD">
            <w:pPr>
              <w:spacing w:before="100" w:beforeAutospacing="1" w:after="100" w:afterAutospacing="1"/>
              <w:jc w:val="center"/>
            </w:pPr>
            <w:r w:rsidRPr="00297AA7">
              <w:t>-</w:t>
            </w:r>
            <w:r>
              <w:t>2728,877</w:t>
            </w:r>
          </w:p>
        </w:tc>
      </w:tr>
      <w:tr w:rsidR="00D867F7" w:rsidRPr="00297AA7" w14:paraId="4432C18D" w14:textId="77777777" w:rsidTr="00D867F7">
        <w:trPr>
          <w:tblCellSpacing w:w="0" w:type="dxa"/>
        </w:trPr>
        <w:tc>
          <w:tcPr>
            <w:tcW w:w="2494" w:type="dxa"/>
            <w:tcBorders>
              <w:top w:val="outset" w:sz="6" w:space="0" w:color="auto"/>
              <w:left w:val="outset" w:sz="6" w:space="0" w:color="auto"/>
              <w:bottom w:val="outset" w:sz="6" w:space="0" w:color="auto"/>
              <w:right w:val="outset" w:sz="6" w:space="0" w:color="auto"/>
            </w:tcBorders>
            <w:hideMark/>
          </w:tcPr>
          <w:p w14:paraId="406B77A0" w14:textId="77777777" w:rsidR="00D867F7" w:rsidRPr="00297AA7" w:rsidRDefault="00D867F7" w:rsidP="002B11DD">
            <w:pPr>
              <w:spacing w:before="100" w:beforeAutospacing="1" w:after="100" w:afterAutospacing="1"/>
            </w:pPr>
            <w:r>
              <w:t>L</w:t>
            </w:r>
            <w:r w:rsidRPr="00297AA7">
              <w:t xml:space="preserve">ėšos </w:t>
            </w:r>
            <w:r>
              <w:t>u</w:t>
            </w:r>
            <w:r w:rsidRPr="00297AA7">
              <w:t>gdymo</w:t>
            </w:r>
            <w:r w:rsidRPr="005A790A">
              <w:t xml:space="preserve"> reikmėms finansuoti</w:t>
            </w:r>
            <w:r w:rsidRPr="00297AA7">
              <w:t xml:space="preserve"> </w:t>
            </w:r>
          </w:p>
        </w:tc>
        <w:tc>
          <w:tcPr>
            <w:tcW w:w="1361" w:type="dxa"/>
            <w:tcBorders>
              <w:top w:val="outset" w:sz="6" w:space="0" w:color="auto"/>
              <w:left w:val="outset" w:sz="6" w:space="0" w:color="auto"/>
              <w:bottom w:val="outset" w:sz="6" w:space="0" w:color="auto"/>
              <w:right w:val="outset" w:sz="6" w:space="0" w:color="auto"/>
            </w:tcBorders>
          </w:tcPr>
          <w:p w14:paraId="75D8FE67" w14:textId="77777777" w:rsidR="00D867F7" w:rsidRPr="00C81477" w:rsidRDefault="00D867F7" w:rsidP="002B11DD">
            <w:pPr>
              <w:jc w:val="center"/>
            </w:pPr>
            <w:r w:rsidRPr="00C81477">
              <w:t>4356,2</w:t>
            </w:r>
          </w:p>
        </w:tc>
        <w:tc>
          <w:tcPr>
            <w:tcW w:w="1339" w:type="dxa"/>
            <w:tcBorders>
              <w:top w:val="outset" w:sz="6" w:space="0" w:color="auto"/>
              <w:left w:val="outset" w:sz="6" w:space="0" w:color="auto"/>
              <w:bottom w:val="outset" w:sz="6" w:space="0" w:color="auto"/>
              <w:right w:val="outset" w:sz="6" w:space="0" w:color="auto"/>
            </w:tcBorders>
            <w:hideMark/>
          </w:tcPr>
          <w:p w14:paraId="20A4A7FC" w14:textId="77777777" w:rsidR="00D867F7" w:rsidRPr="00D867F7" w:rsidRDefault="00D867F7" w:rsidP="002B11DD">
            <w:pPr>
              <w:spacing w:before="100" w:beforeAutospacing="1" w:after="100" w:afterAutospacing="1"/>
              <w:jc w:val="center"/>
            </w:pPr>
            <w:r w:rsidRPr="00D867F7">
              <w:t>4485,5</w:t>
            </w:r>
          </w:p>
        </w:tc>
        <w:tc>
          <w:tcPr>
            <w:tcW w:w="1271" w:type="dxa"/>
            <w:tcBorders>
              <w:top w:val="outset" w:sz="6" w:space="0" w:color="auto"/>
              <w:left w:val="outset" w:sz="6" w:space="0" w:color="auto"/>
              <w:bottom w:val="outset" w:sz="6" w:space="0" w:color="auto"/>
              <w:right w:val="outset" w:sz="6" w:space="0" w:color="auto"/>
            </w:tcBorders>
            <w:hideMark/>
          </w:tcPr>
          <w:p w14:paraId="67CD3E0B" w14:textId="77777777" w:rsidR="00D867F7" w:rsidRPr="00E205D7" w:rsidRDefault="00D867F7" w:rsidP="002B11DD">
            <w:pPr>
              <w:spacing w:before="100" w:beforeAutospacing="1" w:after="100" w:afterAutospacing="1"/>
              <w:jc w:val="center"/>
            </w:pPr>
            <w:r w:rsidRPr="00E205D7">
              <w:t>5010,5</w:t>
            </w:r>
          </w:p>
        </w:tc>
        <w:tc>
          <w:tcPr>
            <w:tcW w:w="1488" w:type="dxa"/>
            <w:tcBorders>
              <w:top w:val="outset" w:sz="6" w:space="0" w:color="auto"/>
              <w:left w:val="outset" w:sz="6" w:space="0" w:color="auto"/>
              <w:bottom w:val="outset" w:sz="6" w:space="0" w:color="auto"/>
              <w:right w:val="outset" w:sz="6" w:space="0" w:color="auto"/>
            </w:tcBorders>
          </w:tcPr>
          <w:p w14:paraId="47D2217C" w14:textId="77777777" w:rsidR="00D867F7" w:rsidRDefault="00EC150E" w:rsidP="002B11DD">
            <w:pPr>
              <w:spacing w:before="100" w:beforeAutospacing="1" w:after="100" w:afterAutospacing="1"/>
              <w:jc w:val="center"/>
            </w:pPr>
            <w:r>
              <w:t>+654,300</w:t>
            </w:r>
          </w:p>
        </w:tc>
        <w:tc>
          <w:tcPr>
            <w:tcW w:w="1715" w:type="dxa"/>
            <w:tcBorders>
              <w:top w:val="outset" w:sz="6" w:space="0" w:color="auto"/>
              <w:left w:val="outset" w:sz="6" w:space="0" w:color="auto"/>
              <w:bottom w:val="outset" w:sz="6" w:space="0" w:color="auto"/>
              <w:right w:val="outset" w:sz="6" w:space="0" w:color="auto"/>
            </w:tcBorders>
            <w:hideMark/>
          </w:tcPr>
          <w:p w14:paraId="635B64B1" w14:textId="77777777" w:rsidR="00D867F7" w:rsidRPr="00297AA7" w:rsidRDefault="00D867F7" w:rsidP="002B11DD">
            <w:pPr>
              <w:spacing w:before="100" w:beforeAutospacing="1" w:after="100" w:afterAutospacing="1"/>
              <w:jc w:val="center"/>
            </w:pPr>
            <w:r>
              <w:t>+525,000</w:t>
            </w:r>
          </w:p>
        </w:tc>
      </w:tr>
      <w:tr w:rsidR="00D867F7" w:rsidRPr="00297AA7" w14:paraId="69A5F998" w14:textId="77777777" w:rsidTr="00D867F7">
        <w:trPr>
          <w:tblCellSpacing w:w="0" w:type="dxa"/>
        </w:trPr>
        <w:tc>
          <w:tcPr>
            <w:tcW w:w="2494" w:type="dxa"/>
            <w:tcBorders>
              <w:top w:val="outset" w:sz="6" w:space="0" w:color="auto"/>
              <w:left w:val="outset" w:sz="6" w:space="0" w:color="auto"/>
              <w:bottom w:val="outset" w:sz="6" w:space="0" w:color="auto"/>
              <w:right w:val="outset" w:sz="6" w:space="0" w:color="auto"/>
            </w:tcBorders>
            <w:hideMark/>
          </w:tcPr>
          <w:p w14:paraId="6A382399" w14:textId="77777777" w:rsidR="00D867F7" w:rsidRPr="00297AA7" w:rsidRDefault="00D867F7" w:rsidP="002B11DD">
            <w:pPr>
              <w:spacing w:before="100" w:beforeAutospacing="1" w:after="100" w:afterAutospacing="1"/>
            </w:pPr>
            <w:r w:rsidRPr="00297AA7">
              <w:t>Valstybės biudžeto specialios tikslinės dotacijos savivaldybių biudžetams</w:t>
            </w:r>
          </w:p>
        </w:tc>
        <w:tc>
          <w:tcPr>
            <w:tcW w:w="1361" w:type="dxa"/>
            <w:tcBorders>
              <w:top w:val="outset" w:sz="6" w:space="0" w:color="auto"/>
              <w:left w:val="outset" w:sz="6" w:space="0" w:color="auto"/>
              <w:bottom w:val="outset" w:sz="6" w:space="0" w:color="auto"/>
              <w:right w:val="outset" w:sz="6" w:space="0" w:color="auto"/>
            </w:tcBorders>
          </w:tcPr>
          <w:p w14:paraId="06BA9B92" w14:textId="77777777" w:rsidR="00D867F7" w:rsidRDefault="00D867F7" w:rsidP="002B11DD">
            <w:pPr>
              <w:jc w:val="center"/>
            </w:pPr>
            <w:r w:rsidRPr="00C81477">
              <w:t>1118,202</w:t>
            </w:r>
          </w:p>
        </w:tc>
        <w:tc>
          <w:tcPr>
            <w:tcW w:w="1339" w:type="dxa"/>
            <w:tcBorders>
              <w:top w:val="outset" w:sz="6" w:space="0" w:color="auto"/>
              <w:left w:val="outset" w:sz="6" w:space="0" w:color="auto"/>
              <w:bottom w:val="outset" w:sz="6" w:space="0" w:color="auto"/>
              <w:right w:val="outset" w:sz="6" w:space="0" w:color="auto"/>
            </w:tcBorders>
            <w:hideMark/>
          </w:tcPr>
          <w:p w14:paraId="3FEEF499" w14:textId="77777777" w:rsidR="00D867F7" w:rsidRPr="00D867F7" w:rsidRDefault="00D867F7" w:rsidP="002B11DD">
            <w:pPr>
              <w:spacing w:before="100" w:beforeAutospacing="1" w:after="100" w:afterAutospacing="1"/>
              <w:jc w:val="center"/>
            </w:pPr>
            <w:r w:rsidRPr="00D867F7">
              <w:t>1311,630</w:t>
            </w:r>
          </w:p>
        </w:tc>
        <w:tc>
          <w:tcPr>
            <w:tcW w:w="1271" w:type="dxa"/>
            <w:tcBorders>
              <w:top w:val="outset" w:sz="6" w:space="0" w:color="auto"/>
              <w:left w:val="outset" w:sz="6" w:space="0" w:color="auto"/>
              <w:bottom w:val="outset" w:sz="6" w:space="0" w:color="auto"/>
              <w:right w:val="outset" w:sz="6" w:space="0" w:color="auto"/>
            </w:tcBorders>
            <w:hideMark/>
          </w:tcPr>
          <w:p w14:paraId="4D2A7323" w14:textId="77777777" w:rsidR="00D867F7" w:rsidRPr="00E205D7" w:rsidRDefault="00D867F7" w:rsidP="002B11DD">
            <w:pPr>
              <w:spacing w:before="100" w:beforeAutospacing="1" w:after="100" w:afterAutospacing="1"/>
              <w:jc w:val="center"/>
            </w:pPr>
            <w:r w:rsidRPr="00E205D7">
              <w:t>1490,326</w:t>
            </w:r>
          </w:p>
        </w:tc>
        <w:tc>
          <w:tcPr>
            <w:tcW w:w="1488" w:type="dxa"/>
            <w:tcBorders>
              <w:top w:val="outset" w:sz="6" w:space="0" w:color="auto"/>
              <w:left w:val="outset" w:sz="6" w:space="0" w:color="auto"/>
              <w:bottom w:val="outset" w:sz="6" w:space="0" w:color="auto"/>
              <w:right w:val="outset" w:sz="6" w:space="0" w:color="auto"/>
            </w:tcBorders>
          </w:tcPr>
          <w:p w14:paraId="708FF295" w14:textId="77777777" w:rsidR="00D867F7" w:rsidRDefault="00EC150E" w:rsidP="002B11DD">
            <w:pPr>
              <w:spacing w:before="100" w:beforeAutospacing="1" w:after="100" w:afterAutospacing="1"/>
              <w:jc w:val="center"/>
            </w:pPr>
            <w:r>
              <w:t>+372,124</w:t>
            </w:r>
          </w:p>
        </w:tc>
        <w:tc>
          <w:tcPr>
            <w:tcW w:w="1715" w:type="dxa"/>
            <w:tcBorders>
              <w:top w:val="outset" w:sz="6" w:space="0" w:color="auto"/>
              <w:left w:val="outset" w:sz="6" w:space="0" w:color="auto"/>
              <w:bottom w:val="outset" w:sz="6" w:space="0" w:color="auto"/>
              <w:right w:val="outset" w:sz="6" w:space="0" w:color="auto"/>
            </w:tcBorders>
            <w:hideMark/>
          </w:tcPr>
          <w:p w14:paraId="5D5A3B68" w14:textId="77777777" w:rsidR="00D867F7" w:rsidRPr="00297AA7" w:rsidRDefault="00D867F7" w:rsidP="002B11DD">
            <w:pPr>
              <w:spacing w:before="100" w:beforeAutospacing="1" w:after="100" w:afterAutospacing="1"/>
              <w:jc w:val="center"/>
            </w:pPr>
            <w:r>
              <w:t>+178,696</w:t>
            </w:r>
          </w:p>
        </w:tc>
      </w:tr>
      <w:tr w:rsidR="00D867F7" w:rsidRPr="00297AA7" w14:paraId="08CF6D96" w14:textId="77777777" w:rsidTr="00D867F7">
        <w:trPr>
          <w:tblCellSpacing w:w="0" w:type="dxa"/>
        </w:trPr>
        <w:tc>
          <w:tcPr>
            <w:tcW w:w="2494" w:type="dxa"/>
            <w:tcBorders>
              <w:top w:val="outset" w:sz="6" w:space="0" w:color="auto"/>
              <w:left w:val="outset" w:sz="6" w:space="0" w:color="auto"/>
              <w:bottom w:val="outset" w:sz="6" w:space="0" w:color="auto"/>
              <w:right w:val="outset" w:sz="6" w:space="0" w:color="auto"/>
            </w:tcBorders>
          </w:tcPr>
          <w:p w14:paraId="1F651CE1" w14:textId="77777777" w:rsidR="00D867F7" w:rsidRPr="00297AA7" w:rsidRDefault="00D867F7" w:rsidP="002B11DD">
            <w:pPr>
              <w:spacing w:before="100" w:beforeAutospacing="1" w:after="100" w:afterAutospacing="1"/>
            </w:pPr>
            <w:r w:rsidRPr="00297AA7">
              <w:t>Savivaldybių mokykloms (klasėms), skirtoms šalies (regiono) mokiniams, turintiems specialiųjų ugdymosi poreikių, išlaikyti</w:t>
            </w:r>
          </w:p>
        </w:tc>
        <w:tc>
          <w:tcPr>
            <w:tcW w:w="1361" w:type="dxa"/>
            <w:tcBorders>
              <w:top w:val="outset" w:sz="6" w:space="0" w:color="auto"/>
              <w:left w:val="outset" w:sz="6" w:space="0" w:color="auto"/>
              <w:bottom w:val="outset" w:sz="6" w:space="0" w:color="auto"/>
              <w:right w:val="outset" w:sz="6" w:space="0" w:color="auto"/>
            </w:tcBorders>
          </w:tcPr>
          <w:p w14:paraId="0511A35B" w14:textId="77777777" w:rsidR="00D867F7" w:rsidRPr="00702059" w:rsidRDefault="00D867F7" w:rsidP="002B11DD">
            <w:pPr>
              <w:jc w:val="center"/>
            </w:pPr>
            <w:r w:rsidRPr="00702059">
              <w:t>24,3</w:t>
            </w:r>
          </w:p>
        </w:tc>
        <w:tc>
          <w:tcPr>
            <w:tcW w:w="1339" w:type="dxa"/>
            <w:tcBorders>
              <w:top w:val="outset" w:sz="6" w:space="0" w:color="auto"/>
              <w:left w:val="outset" w:sz="6" w:space="0" w:color="auto"/>
              <w:bottom w:val="outset" w:sz="6" w:space="0" w:color="auto"/>
              <w:right w:val="outset" w:sz="6" w:space="0" w:color="auto"/>
            </w:tcBorders>
          </w:tcPr>
          <w:p w14:paraId="10B495B4" w14:textId="77777777" w:rsidR="00D867F7" w:rsidRPr="00D867F7" w:rsidRDefault="00D867F7" w:rsidP="002B11DD">
            <w:pPr>
              <w:spacing w:before="100" w:beforeAutospacing="1" w:after="100" w:afterAutospacing="1"/>
              <w:jc w:val="center"/>
            </w:pPr>
            <w:r w:rsidRPr="00D867F7">
              <w:t>24,3</w:t>
            </w:r>
          </w:p>
        </w:tc>
        <w:tc>
          <w:tcPr>
            <w:tcW w:w="1271" w:type="dxa"/>
            <w:tcBorders>
              <w:top w:val="outset" w:sz="6" w:space="0" w:color="auto"/>
              <w:left w:val="outset" w:sz="6" w:space="0" w:color="auto"/>
              <w:bottom w:val="outset" w:sz="6" w:space="0" w:color="auto"/>
              <w:right w:val="outset" w:sz="6" w:space="0" w:color="auto"/>
            </w:tcBorders>
          </w:tcPr>
          <w:p w14:paraId="7ADFE457" w14:textId="77777777" w:rsidR="00D867F7" w:rsidRPr="00E205D7" w:rsidRDefault="00D867F7" w:rsidP="002B11DD">
            <w:pPr>
              <w:spacing w:before="100" w:beforeAutospacing="1" w:after="100" w:afterAutospacing="1"/>
              <w:jc w:val="center"/>
            </w:pPr>
            <w:r w:rsidRPr="00E205D7">
              <w:t>22,9</w:t>
            </w:r>
          </w:p>
        </w:tc>
        <w:tc>
          <w:tcPr>
            <w:tcW w:w="1488" w:type="dxa"/>
            <w:tcBorders>
              <w:top w:val="outset" w:sz="6" w:space="0" w:color="auto"/>
              <w:left w:val="outset" w:sz="6" w:space="0" w:color="auto"/>
              <w:bottom w:val="outset" w:sz="6" w:space="0" w:color="auto"/>
              <w:right w:val="outset" w:sz="6" w:space="0" w:color="auto"/>
            </w:tcBorders>
          </w:tcPr>
          <w:p w14:paraId="7A47E885" w14:textId="77777777" w:rsidR="00D867F7" w:rsidRPr="00297AA7" w:rsidRDefault="00EC150E" w:rsidP="002B11DD">
            <w:pPr>
              <w:spacing w:before="100" w:beforeAutospacing="1" w:after="100" w:afterAutospacing="1"/>
              <w:jc w:val="center"/>
            </w:pPr>
            <w:r w:rsidRPr="00297AA7">
              <w:t>-</w:t>
            </w:r>
            <w:r>
              <w:t>1,4</w:t>
            </w:r>
          </w:p>
        </w:tc>
        <w:tc>
          <w:tcPr>
            <w:tcW w:w="1715" w:type="dxa"/>
            <w:tcBorders>
              <w:top w:val="outset" w:sz="6" w:space="0" w:color="auto"/>
              <w:left w:val="outset" w:sz="6" w:space="0" w:color="auto"/>
              <w:bottom w:val="outset" w:sz="6" w:space="0" w:color="auto"/>
              <w:right w:val="outset" w:sz="6" w:space="0" w:color="auto"/>
            </w:tcBorders>
          </w:tcPr>
          <w:p w14:paraId="33B02D87" w14:textId="77777777" w:rsidR="00D867F7" w:rsidRPr="00297AA7" w:rsidRDefault="00D867F7" w:rsidP="002B11DD">
            <w:pPr>
              <w:spacing w:before="100" w:beforeAutospacing="1" w:after="100" w:afterAutospacing="1"/>
              <w:jc w:val="center"/>
            </w:pPr>
            <w:r w:rsidRPr="00297AA7">
              <w:t>-</w:t>
            </w:r>
            <w:r w:rsidR="00890669">
              <w:t>1,4</w:t>
            </w:r>
          </w:p>
        </w:tc>
      </w:tr>
      <w:tr w:rsidR="00D867F7" w:rsidRPr="00297AA7" w14:paraId="0C9E3B42" w14:textId="77777777" w:rsidTr="00D867F7">
        <w:trPr>
          <w:tblCellSpacing w:w="0" w:type="dxa"/>
        </w:trPr>
        <w:tc>
          <w:tcPr>
            <w:tcW w:w="2494" w:type="dxa"/>
            <w:tcBorders>
              <w:top w:val="outset" w:sz="6" w:space="0" w:color="auto"/>
              <w:left w:val="outset" w:sz="6" w:space="0" w:color="auto"/>
              <w:bottom w:val="outset" w:sz="6" w:space="0" w:color="auto"/>
              <w:right w:val="outset" w:sz="6" w:space="0" w:color="auto"/>
            </w:tcBorders>
          </w:tcPr>
          <w:p w14:paraId="18ABC94B" w14:textId="77777777" w:rsidR="00D867F7" w:rsidRPr="00297AA7" w:rsidRDefault="00D867F7" w:rsidP="002B11DD">
            <w:pPr>
              <w:spacing w:before="100" w:beforeAutospacing="1" w:after="100" w:afterAutospacing="1"/>
            </w:pPr>
            <w:r w:rsidRPr="00297AA7">
              <w:t>Valstybės biudžeto speciali tikslinė dotacija pagal 2014</w:t>
            </w:r>
            <w:r>
              <w:t>–</w:t>
            </w:r>
            <w:r w:rsidRPr="00297AA7">
              <w:t>2020 metų Europos Sąjungos fondų investicijų veiksmų programą   įgyvendinamų projektų nuosavam ind</w:t>
            </w:r>
            <w:r w:rsidR="004B0AD3">
              <w:t>ė</w:t>
            </w:r>
            <w:r w:rsidRPr="00297AA7">
              <w:t xml:space="preserve">liui užtikrinti      </w:t>
            </w:r>
          </w:p>
        </w:tc>
        <w:tc>
          <w:tcPr>
            <w:tcW w:w="1361" w:type="dxa"/>
            <w:tcBorders>
              <w:top w:val="outset" w:sz="6" w:space="0" w:color="auto"/>
              <w:left w:val="outset" w:sz="6" w:space="0" w:color="auto"/>
              <w:bottom w:val="outset" w:sz="6" w:space="0" w:color="auto"/>
              <w:right w:val="outset" w:sz="6" w:space="0" w:color="auto"/>
            </w:tcBorders>
          </w:tcPr>
          <w:p w14:paraId="115605C2" w14:textId="77777777" w:rsidR="00D867F7" w:rsidRPr="00702059" w:rsidRDefault="00D867F7" w:rsidP="002B11DD">
            <w:pPr>
              <w:jc w:val="center"/>
            </w:pPr>
            <w:r w:rsidRPr="00702059">
              <w:t>663,856</w:t>
            </w:r>
          </w:p>
        </w:tc>
        <w:tc>
          <w:tcPr>
            <w:tcW w:w="1339" w:type="dxa"/>
            <w:tcBorders>
              <w:top w:val="outset" w:sz="6" w:space="0" w:color="auto"/>
              <w:left w:val="outset" w:sz="6" w:space="0" w:color="auto"/>
              <w:bottom w:val="outset" w:sz="6" w:space="0" w:color="auto"/>
              <w:right w:val="outset" w:sz="6" w:space="0" w:color="auto"/>
            </w:tcBorders>
          </w:tcPr>
          <w:p w14:paraId="2C27B034" w14:textId="77777777" w:rsidR="00D867F7" w:rsidRPr="00D867F7" w:rsidRDefault="00D867F7" w:rsidP="002B11DD">
            <w:pPr>
              <w:spacing w:before="100" w:beforeAutospacing="1" w:after="100" w:afterAutospacing="1"/>
              <w:jc w:val="center"/>
            </w:pPr>
            <w:r w:rsidRPr="00D867F7">
              <w:t>663,856</w:t>
            </w:r>
          </w:p>
        </w:tc>
        <w:tc>
          <w:tcPr>
            <w:tcW w:w="1271" w:type="dxa"/>
            <w:tcBorders>
              <w:top w:val="outset" w:sz="6" w:space="0" w:color="auto"/>
              <w:left w:val="outset" w:sz="6" w:space="0" w:color="auto"/>
              <w:bottom w:val="outset" w:sz="6" w:space="0" w:color="auto"/>
              <w:right w:val="outset" w:sz="6" w:space="0" w:color="auto"/>
            </w:tcBorders>
          </w:tcPr>
          <w:p w14:paraId="099F94BC" w14:textId="77777777" w:rsidR="00D867F7" w:rsidRPr="00E205D7" w:rsidRDefault="00890669" w:rsidP="002B11DD">
            <w:pPr>
              <w:spacing w:before="100" w:beforeAutospacing="1" w:after="100" w:afterAutospacing="1"/>
              <w:jc w:val="center"/>
            </w:pPr>
            <w:r w:rsidRPr="00E205D7">
              <w:t>334,645</w:t>
            </w:r>
          </w:p>
        </w:tc>
        <w:tc>
          <w:tcPr>
            <w:tcW w:w="1488" w:type="dxa"/>
            <w:tcBorders>
              <w:top w:val="outset" w:sz="6" w:space="0" w:color="auto"/>
              <w:left w:val="outset" w:sz="6" w:space="0" w:color="auto"/>
              <w:bottom w:val="outset" w:sz="6" w:space="0" w:color="auto"/>
              <w:right w:val="outset" w:sz="6" w:space="0" w:color="auto"/>
            </w:tcBorders>
          </w:tcPr>
          <w:p w14:paraId="4A199B9B" w14:textId="77777777" w:rsidR="00D867F7" w:rsidRPr="00297AA7" w:rsidRDefault="00EC150E" w:rsidP="002B11DD">
            <w:pPr>
              <w:spacing w:before="100" w:beforeAutospacing="1" w:after="100" w:afterAutospacing="1"/>
              <w:jc w:val="center"/>
            </w:pPr>
            <w:r>
              <w:t>-329,211</w:t>
            </w:r>
          </w:p>
        </w:tc>
        <w:tc>
          <w:tcPr>
            <w:tcW w:w="1715" w:type="dxa"/>
            <w:tcBorders>
              <w:top w:val="outset" w:sz="6" w:space="0" w:color="auto"/>
              <w:left w:val="outset" w:sz="6" w:space="0" w:color="auto"/>
              <w:bottom w:val="outset" w:sz="6" w:space="0" w:color="auto"/>
              <w:right w:val="outset" w:sz="6" w:space="0" w:color="auto"/>
            </w:tcBorders>
          </w:tcPr>
          <w:p w14:paraId="537362B2" w14:textId="77777777" w:rsidR="00D867F7" w:rsidRPr="00297AA7" w:rsidRDefault="00890669" w:rsidP="002B11DD">
            <w:pPr>
              <w:spacing w:before="100" w:beforeAutospacing="1" w:after="100" w:afterAutospacing="1"/>
              <w:jc w:val="center"/>
            </w:pPr>
            <w:r>
              <w:t>-329,211</w:t>
            </w:r>
          </w:p>
        </w:tc>
      </w:tr>
      <w:tr w:rsidR="00D867F7" w:rsidRPr="00297AA7" w14:paraId="454CCCB0" w14:textId="77777777" w:rsidTr="00D867F7">
        <w:trPr>
          <w:tblCellSpacing w:w="0" w:type="dxa"/>
        </w:trPr>
        <w:tc>
          <w:tcPr>
            <w:tcW w:w="2494" w:type="dxa"/>
            <w:tcBorders>
              <w:top w:val="outset" w:sz="6" w:space="0" w:color="auto"/>
              <w:left w:val="outset" w:sz="6" w:space="0" w:color="auto"/>
              <w:bottom w:val="outset" w:sz="6" w:space="0" w:color="auto"/>
              <w:right w:val="outset" w:sz="6" w:space="0" w:color="auto"/>
            </w:tcBorders>
            <w:hideMark/>
          </w:tcPr>
          <w:p w14:paraId="2D53F85E" w14:textId="77777777" w:rsidR="00D867F7" w:rsidRPr="00297AA7" w:rsidRDefault="00D867F7" w:rsidP="002B11DD">
            <w:pPr>
              <w:spacing w:before="100" w:beforeAutospacing="1" w:after="100" w:afterAutospacing="1"/>
            </w:pPr>
            <w:bookmarkStart w:id="13" w:name="_Hlk30970567"/>
            <w:r w:rsidRPr="00297AA7">
              <w:t>Kelių priežiūros ir plėtros programa</w:t>
            </w:r>
            <w:bookmarkEnd w:id="13"/>
          </w:p>
        </w:tc>
        <w:tc>
          <w:tcPr>
            <w:tcW w:w="1361" w:type="dxa"/>
            <w:tcBorders>
              <w:top w:val="outset" w:sz="6" w:space="0" w:color="auto"/>
              <w:left w:val="outset" w:sz="6" w:space="0" w:color="auto"/>
              <w:bottom w:val="outset" w:sz="6" w:space="0" w:color="auto"/>
              <w:right w:val="outset" w:sz="6" w:space="0" w:color="auto"/>
            </w:tcBorders>
          </w:tcPr>
          <w:p w14:paraId="096BFA21" w14:textId="77777777" w:rsidR="00D867F7" w:rsidRPr="00702059" w:rsidRDefault="00D867F7" w:rsidP="002B11DD">
            <w:pPr>
              <w:jc w:val="center"/>
            </w:pPr>
            <w:r w:rsidRPr="00702059">
              <w:t>0,0</w:t>
            </w:r>
          </w:p>
        </w:tc>
        <w:tc>
          <w:tcPr>
            <w:tcW w:w="1339" w:type="dxa"/>
            <w:tcBorders>
              <w:top w:val="outset" w:sz="6" w:space="0" w:color="auto"/>
              <w:left w:val="outset" w:sz="6" w:space="0" w:color="auto"/>
              <w:bottom w:val="outset" w:sz="6" w:space="0" w:color="auto"/>
              <w:right w:val="outset" w:sz="6" w:space="0" w:color="auto"/>
            </w:tcBorders>
            <w:hideMark/>
          </w:tcPr>
          <w:p w14:paraId="0E677E83" w14:textId="77777777" w:rsidR="00D867F7" w:rsidRPr="00D867F7" w:rsidRDefault="00D867F7" w:rsidP="002B11DD">
            <w:pPr>
              <w:spacing w:before="100" w:beforeAutospacing="1" w:after="100" w:afterAutospacing="1"/>
              <w:jc w:val="center"/>
            </w:pPr>
            <w:r w:rsidRPr="00D867F7">
              <w:t>821,9</w:t>
            </w:r>
          </w:p>
        </w:tc>
        <w:tc>
          <w:tcPr>
            <w:tcW w:w="1271" w:type="dxa"/>
            <w:tcBorders>
              <w:top w:val="outset" w:sz="6" w:space="0" w:color="auto"/>
              <w:left w:val="outset" w:sz="6" w:space="0" w:color="auto"/>
              <w:bottom w:val="outset" w:sz="6" w:space="0" w:color="auto"/>
              <w:right w:val="outset" w:sz="6" w:space="0" w:color="auto"/>
            </w:tcBorders>
            <w:hideMark/>
          </w:tcPr>
          <w:p w14:paraId="336D15BF" w14:textId="77777777" w:rsidR="00D867F7" w:rsidRPr="00E205D7" w:rsidRDefault="00890669" w:rsidP="002B11DD">
            <w:pPr>
              <w:spacing w:before="100" w:beforeAutospacing="1" w:after="100" w:afterAutospacing="1"/>
              <w:jc w:val="center"/>
            </w:pPr>
            <w:r w:rsidRPr="00E205D7">
              <w:t>628,7</w:t>
            </w:r>
          </w:p>
        </w:tc>
        <w:tc>
          <w:tcPr>
            <w:tcW w:w="1488" w:type="dxa"/>
            <w:tcBorders>
              <w:top w:val="outset" w:sz="6" w:space="0" w:color="auto"/>
              <w:left w:val="outset" w:sz="6" w:space="0" w:color="auto"/>
              <w:bottom w:val="outset" w:sz="6" w:space="0" w:color="auto"/>
              <w:right w:val="outset" w:sz="6" w:space="0" w:color="auto"/>
            </w:tcBorders>
          </w:tcPr>
          <w:p w14:paraId="7AE81607" w14:textId="77777777" w:rsidR="00D867F7" w:rsidRPr="00297AA7" w:rsidRDefault="00EC150E" w:rsidP="002B11DD">
            <w:pPr>
              <w:spacing w:before="100" w:beforeAutospacing="1" w:after="100" w:afterAutospacing="1"/>
              <w:jc w:val="center"/>
            </w:pPr>
            <w:r>
              <w:t>+628,7</w:t>
            </w:r>
          </w:p>
        </w:tc>
        <w:tc>
          <w:tcPr>
            <w:tcW w:w="1715" w:type="dxa"/>
            <w:tcBorders>
              <w:top w:val="outset" w:sz="6" w:space="0" w:color="auto"/>
              <w:left w:val="outset" w:sz="6" w:space="0" w:color="auto"/>
              <w:bottom w:val="outset" w:sz="6" w:space="0" w:color="auto"/>
              <w:right w:val="outset" w:sz="6" w:space="0" w:color="auto"/>
            </w:tcBorders>
            <w:hideMark/>
          </w:tcPr>
          <w:p w14:paraId="34A1FBFC" w14:textId="77777777" w:rsidR="00D867F7" w:rsidRPr="00297AA7" w:rsidRDefault="00D867F7" w:rsidP="002B11DD">
            <w:pPr>
              <w:spacing w:before="100" w:beforeAutospacing="1" w:after="100" w:afterAutospacing="1"/>
              <w:jc w:val="center"/>
            </w:pPr>
            <w:r w:rsidRPr="00297AA7">
              <w:t>-</w:t>
            </w:r>
            <w:r w:rsidR="00890669">
              <w:t>193,2</w:t>
            </w:r>
          </w:p>
        </w:tc>
      </w:tr>
      <w:tr w:rsidR="00D867F7" w:rsidRPr="00297AA7" w14:paraId="750E3237" w14:textId="77777777" w:rsidTr="00D867F7">
        <w:trPr>
          <w:tblCellSpacing w:w="0" w:type="dxa"/>
        </w:trPr>
        <w:tc>
          <w:tcPr>
            <w:tcW w:w="2494" w:type="dxa"/>
            <w:tcBorders>
              <w:top w:val="outset" w:sz="6" w:space="0" w:color="auto"/>
              <w:left w:val="outset" w:sz="6" w:space="0" w:color="auto"/>
              <w:bottom w:val="outset" w:sz="6" w:space="0" w:color="auto"/>
              <w:right w:val="outset" w:sz="6" w:space="0" w:color="auto"/>
            </w:tcBorders>
            <w:hideMark/>
          </w:tcPr>
          <w:p w14:paraId="2E55431F" w14:textId="77777777" w:rsidR="00D867F7" w:rsidRPr="00297AA7" w:rsidRDefault="00D867F7" w:rsidP="002B11DD">
            <w:pPr>
              <w:spacing w:before="100" w:beforeAutospacing="1" w:after="100" w:afterAutospacing="1"/>
            </w:pPr>
            <w:r w:rsidRPr="00297AA7">
              <w:t>Kitos dotacijos ir lėšos</w:t>
            </w:r>
          </w:p>
        </w:tc>
        <w:tc>
          <w:tcPr>
            <w:tcW w:w="1361" w:type="dxa"/>
            <w:tcBorders>
              <w:top w:val="outset" w:sz="6" w:space="0" w:color="auto"/>
              <w:left w:val="outset" w:sz="6" w:space="0" w:color="auto"/>
              <w:bottom w:val="outset" w:sz="6" w:space="0" w:color="auto"/>
              <w:right w:val="outset" w:sz="6" w:space="0" w:color="auto"/>
            </w:tcBorders>
          </w:tcPr>
          <w:p w14:paraId="17FCC52B" w14:textId="77777777" w:rsidR="00D867F7" w:rsidRPr="00702059" w:rsidRDefault="00D867F7" w:rsidP="002B11DD">
            <w:pPr>
              <w:jc w:val="center"/>
            </w:pPr>
            <w:r w:rsidRPr="00702059">
              <w:t>49,7</w:t>
            </w:r>
          </w:p>
        </w:tc>
        <w:tc>
          <w:tcPr>
            <w:tcW w:w="1339" w:type="dxa"/>
            <w:tcBorders>
              <w:top w:val="outset" w:sz="6" w:space="0" w:color="auto"/>
              <w:left w:val="outset" w:sz="6" w:space="0" w:color="auto"/>
              <w:bottom w:val="outset" w:sz="6" w:space="0" w:color="auto"/>
              <w:right w:val="outset" w:sz="6" w:space="0" w:color="auto"/>
            </w:tcBorders>
            <w:hideMark/>
          </w:tcPr>
          <w:p w14:paraId="5724D258" w14:textId="77777777" w:rsidR="00D867F7" w:rsidRPr="00D867F7" w:rsidRDefault="00D867F7" w:rsidP="002B11DD">
            <w:pPr>
              <w:spacing w:before="100" w:beforeAutospacing="1" w:after="100" w:afterAutospacing="1"/>
              <w:jc w:val="center"/>
            </w:pPr>
            <w:r w:rsidRPr="00D867F7">
              <w:t>569,141</w:t>
            </w:r>
          </w:p>
        </w:tc>
        <w:tc>
          <w:tcPr>
            <w:tcW w:w="1271" w:type="dxa"/>
            <w:tcBorders>
              <w:top w:val="outset" w:sz="6" w:space="0" w:color="auto"/>
              <w:left w:val="outset" w:sz="6" w:space="0" w:color="auto"/>
              <w:bottom w:val="outset" w:sz="6" w:space="0" w:color="auto"/>
              <w:right w:val="outset" w:sz="6" w:space="0" w:color="auto"/>
            </w:tcBorders>
            <w:hideMark/>
          </w:tcPr>
          <w:p w14:paraId="3AA65E00" w14:textId="77777777" w:rsidR="00D867F7" w:rsidRPr="00E205D7" w:rsidRDefault="00890669" w:rsidP="002B11DD">
            <w:pPr>
              <w:spacing w:before="100" w:beforeAutospacing="1" w:after="100" w:afterAutospacing="1"/>
              <w:jc w:val="center"/>
            </w:pPr>
            <w:r w:rsidRPr="00E205D7">
              <w:t>9</w:t>
            </w:r>
            <w:r w:rsidR="00172F9D">
              <w:t>18</w:t>
            </w:r>
            <w:r w:rsidRPr="00E205D7">
              <w:t>,</w:t>
            </w:r>
            <w:r w:rsidR="00172F9D">
              <w:t>60</w:t>
            </w:r>
            <w:r w:rsidRPr="00E205D7">
              <w:t>0</w:t>
            </w:r>
          </w:p>
        </w:tc>
        <w:tc>
          <w:tcPr>
            <w:tcW w:w="1488" w:type="dxa"/>
            <w:tcBorders>
              <w:top w:val="outset" w:sz="6" w:space="0" w:color="auto"/>
              <w:left w:val="outset" w:sz="6" w:space="0" w:color="auto"/>
              <w:bottom w:val="outset" w:sz="6" w:space="0" w:color="auto"/>
              <w:right w:val="outset" w:sz="6" w:space="0" w:color="auto"/>
            </w:tcBorders>
          </w:tcPr>
          <w:p w14:paraId="1B70EC49" w14:textId="77777777" w:rsidR="00D867F7" w:rsidRPr="00297AA7" w:rsidRDefault="00EC150E" w:rsidP="002B11DD">
            <w:pPr>
              <w:spacing w:before="100" w:beforeAutospacing="1" w:after="100" w:afterAutospacing="1"/>
              <w:jc w:val="center"/>
            </w:pPr>
            <w:r>
              <w:t>+8</w:t>
            </w:r>
            <w:r w:rsidR="00172F9D">
              <w:t>68</w:t>
            </w:r>
            <w:r>
              <w:t>,</w:t>
            </w:r>
            <w:r w:rsidR="00172F9D">
              <w:t>90</w:t>
            </w:r>
            <w:r>
              <w:t>0</w:t>
            </w:r>
          </w:p>
        </w:tc>
        <w:tc>
          <w:tcPr>
            <w:tcW w:w="1715" w:type="dxa"/>
            <w:tcBorders>
              <w:top w:val="outset" w:sz="6" w:space="0" w:color="auto"/>
              <w:left w:val="outset" w:sz="6" w:space="0" w:color="auto"/>
              <w:bottom w:val="outset" w:sz="6" w:space="0" w:color="auto"/>
              <w:right w:val="outset" w:sz="6" w:space="0" w:color="auto"/>
            </w:tcBorders>
            <w:hideMark/>
          </w:tcPr>
          <w:p w14:paraId="56256E88" w14:textId="77777777" w:rsidR="00D867F7" w:rsidRPr="00297AA7" w:rsidRDefault="00890669" w:rsidP="002B11DD">
            <w:pPr>
              <w:spacing w:before="100" w:beforeAutospacing="1" w:after="100" w:afterAutospacing="1"/>
              <w:jc w:val="center"/>
            </w:pPr>
            <w:r>
              <w:t>+3</w:t>
            </w:r>
            <w:r w:rsidR="00172F9D">
              <w:t>49</w:t>
            </w:r>
            <w:r>
              <w:t>,</w:t>
            </w:r>
            <w:r w:rsidR="00172F9D">
              <w:t>45</w:t>
            </w:r>
            <w:r>
              <w:t>9</w:t>
            </w:r>
          </w:p>
        </w:tc>
      </w:tr>
      <w:tr w:rsidR="00D867F7" w:rsidRPr="00297AA7" w14:paraId="12451D60" w14:textId="77777777" w:rsidTr="00D867F7">
        <w:trPr>
          <w:tblCellSpacing w:w="0" w:type="dxa"/>
        </w:trPr>
        <w:tc>
          <w:tcPr>
            <w:tcW w:w="2494" w:type="dxa"/>
            <w:tcBorders>
              <w:top w:val="outset" w:sz="6" w:space="0" w:color="auto"/>
              <w:left w:val="outset" w:sz="6" w:space="0" w:color="auto"/>
              <w:bottom w:val="outset" w:sz="6" w:space="0" w:color="auto"/>
              <w:right w:val="outset" w:sz="6" w:space="0" w:color="auto"/>
            </w:tcBorders>
            <w:hideMark/>
          </w:tcPr>
          <w:p w14:paraId="3CA96DE1" w14:textId="77777777" w:rsidR="00D867F7" w:rsidRPr="00297AA7" w:rsidRDefault="00D867F7" w:rsidP="002B11DD">
            <w:pPr>
              <w:spacing w:before="100" w:beforeAutospacing="1" w:after="100" w:afterAutospacing="1"/>
            </w:pPr>
            <w:r w:rsidRPr="00297AA7">
              <w:rPr>
                <w:b/>
                <w:bCs/>
              </w:rPr>
              <w:t>Iš viso</w:t>
            </w:r>
          </w:p>
        </w:tc>
        <w:tc>
          <w:tcPr>
            <w:tcW w:w="1361" w:type="dxa"/>
            <w:tcBorders>
              <w:top w:val="outset" w:sz="6" w:space="0" w:color="auto"/>
              <w:left w:val="outset" w:sz="6" w:space="0" w:color="auto"/>
              <w:bottom w:val="outset" w:sz="6" w:space="0" w:color="auto"/>
              <w:right w:val="outset" w:sz="6" w:space="0" w:color="auto"/>
            </w:tcBorders>
          </w:tcPr>
          <w:p w14:paraId="4AE91AFE" w14:textId="77777777" w:rsidR="00D867F7" w:rsidRPr="003D5DB3" w:rsidRDefault="00D867F7" w:rsidP="002B11DD">
            <w:pPr>
              <w:jc w:val="center"/>
              <w:rPr>
                <w:b/>
                <w:bCs/>
              </w:rPr>
            </w:pPr>
            <w:r w:rsidRPr="003D5DB3">
              <w:rPr>
                <w:b/>
                <w:bCs/>
              </w:rPr>
              <w:t>24145,527</w:t>
            </w:r>
          </w:p>
        </w:tc>
        <w:tc>
          <w:tcPr>
            <w:tcW w:w="1339" w:type="dxa"/>
            <w:tcBorders>
              <w:top w:val="outset" w:sz="6" w:space="0" w:color="auto"/>
              <w:left w:val="outset" w:sz="6" w:space="0" w:color="auto"/>
              <w:bottom w:val="outset" w:sz="6" w:space="0" w:color="auto"/>
              <w:right w:val="outset" w:sz="6" w:space="0" w:color="auto"/>
            </w:tcBorders>
            <w:hideMark/>
          </w:tcPr>
          <w:p w14:paraId="6BBD5C56" w14:textId="77777777" w:rsidR="00D867F7" w:rsidRPr="00297AA7" w:rsidRDefault="00D867F7" w:rsidP="002B11DD">
            <w:pPr>
              <w:spacing w:before="100" w:beforeAutospacing="1" w:after="100" w:afterAutospacing="1"/>
              <w:jc w:val="center"/>
            </w:pPr>
            <w:r>
              <w:rPr>
                <w:b/>
                <w:bCs/>
              </w:rPr>
              <w:t>28028,636</w:t>
            </w:r>
          </w:p>
        </w:tc>
        <w:tc>
          <w:tcPr>
            <w:tcW w:w="1271" w:type="dxa"/>
            <w:tcBorders>
              <w:top w:val="outset" w:sz="6" w:space="0" w:color="auto"/>
              <w:left w:val="outset" w:sz="6" w:space="0" w:color="auto"/>
              <w:bottom w:val="outset" w:sz="6" w:space="0" w:color="auto"/>
              <w:right w:val="outset" w:sz="6" w:space="0" w:color="auto"/>
            </w:tcBorders>
            <w:hideMark/>
          </w:tcPr>
          <w:p w14:paraId="5A8C35D1" w14:textId="77777777" w:rsidR="00D867F7" w:rsidRPr="00297AA7" w:rsidRDefault="00172F9D" w:rsidP="002B11DD">
            <w:pPr>
              <w:spacing w:before="100" w:beforeAutospacing="1" w:after="100" w:afterAutospacing="1"/>
              <w:jc w:val="center"/>
            </w:pPr>
            <w:r>
              <w:rPr>
                <w:b/>
                <w:bCs/>
              </w:rPr>
              <w:t>26497,511</w:t>
            </w:r>
          </w:p>
        </w:tc>
        <w:tc>
          <w:tcPr>
            <w:tcW w:w="1488" w:type="dxa"/>
            <w:tcBorders>
              <w:top w:val="outset" w:sz="6" w:space="0" w:color="auto"/>
              <w:left w:val="outset" w:sz="6" w:space="0" w:color="auto"/>
              <w:bottom w:val="outset" w:sz="6" w:space="0" w:color="auto"/>
              <w:right w:val="outset" w:sz="6" w:space="0" w:color="auto"/>
            </w:tcBorders>
          </w:tcPr>
          <w:p w14:paraId="4FF98664" w14:textId="77777777" w:rsidR="00D867F7" w:rsidRPr="00297AA7" w:rsidRDefault="00EC150E" w:rsidP="002B11DD">
            <w:pPr>
              <w:spacing w:before="100" w:beforeAutospacing="1" w:after="100" w:afterAutospacing="1"/>
              <w:jc w:val="center"/>
              <w:rPr>
                <w:b/>
                <w:bCs/>
              </w:rPr>
            </w:pPr>
            <w:r>
              <w:rPr>
                <w:b/>
                <w:bCs/>
              </w:rPr>
              <w:t>+2354,644</w:t>
            </w:r>
          </w:p>
        </w:tc>
        <w:tc>
          <w:tcPr>
            <w:tcW w:w="1715" w:type="dxa"/>
            <w:tcBorders>
              <w:top w:val="outset" w:sz="6" w:space="0" w:color="auto"/>
              <w:left w:val="outset" w:sz="6" w:space="0" w:color="auto"/>
              <w:bottom w:val="outset" w:sz="6" w:space="0" w:color="auto"/>
              <w:right w:val="outset" w:sz="6" w:space="0" w:color="auto"/>
            </w:tcBorders>
            <w:hideMark/>
          </w:tcPr>
          <w:p w14:paraId="32A580A6" w14:textId="77777777" w:rsidR="00D867F7" w:rsidRPr="00297AA7" w:rsidRDefault="00890669" w:rsidP="002B11DD">
            <w:pPr>
              <w:spacing w:before="100" w:beforeAutospacing="1" w:after="100" w:afterAutospacing="1"/>
              <w:jc w:val="center"/>
            </w:pPr>
            <w:r>
              <w:rPr>
                <w:b/>
                <w:bCs/>
              </w:rPr>
              <w:t>-15</w:t>
            </w:r>
            <w:r w:rsidR="00CD5D80">
              <w:rPr>
                <w:b/>
                <w:bCs/>
              </w:rPr>
              <w:t>31</w:t>
            </w:r>
            <w:r>
              <w:rPr>
                <w:b/>
                <w:bCs/>
              </w:rPr>
              <w:t>,</w:t>
            </w:r>
            <w:r w:rsidR="00CD5D80">
              <w:rPr>
                <w:b/>
                <w:bCs/>
              </w:rPr>
              <w:t>12</w:t>
            </w:r>
            <w:r>
              <w:rPr>
                <w:b/>
                <w:bCs/>
              </w:rPr>
              <w:t>5</w:t>
            </w:r>
          </w:p>
        </w:tc>
      </w:tr>
      <w:tr w:rsidR="00D867F7" w:rsidRPr="00297AA7" w14:paraId="08BAA417" w14:textId="77777777" w:rsidTr="00D867F7">
        <w:trPr>
          <w:trHeight w:val="303"/>
          <w:tblCellSpacing w:w="0" w:type="dxa"/>
        </w:trPr>
        <w:tc>
          <w:tcPr>
            <w:tcW w:w="2494" w:type="dxa"/>
            <w:tcBorders>
              <w:top w:val="outset" w:sz="6" w:space="0" w:color="auto"/>
              <w:left w:val="outset" w:sz="6" w:space="0" w:color="auto"/>
              <w:bottom w:val="outset" w:sz="6" w:space="0" w:color="auto"/>
              <w:right w:val="outset" w:sz="6" w:space="0" w:color="auto"/>
            </w:tcBorders>
            <w:hideMark/>
          </w:tcPr>
          <w:p w14:paraId="0084A0C7" w14:textId="77777777" w:rsidR="00D867F7" w:rsidRPr="00297AA7" w:rsidRDefault="00D867F7" w:rsidP="002B11DD">
            <w:pPr>
              <w:spacing w:before="100" w:beforeAutospacing="1" w:after="100" w:afterAutospacing="1"/>
            </w:pPr>
            <w:r w:rsidRPr="00297AA7">
              <w:t>Skolintos lėšos</w:t>
            </w:r>
          </w:p>
        </w:tc>
        <w:tc>
          <w:tcPr>
            <w:tcW w:w="1361" w:type="dxa"/>
            <w:tcBorders>
              <w:top w:val="outset" w:sz="6" w:space="0" w:color="auto"/>
              <w:left w:val="outset" w:sz="6" w:space="0" w:color="auto"/>
              <w:bottom w:val="outset" w:sz="6" w:space="0" w:color="auto"/>
              <w:right w:val="outset" w:sz="6" w:space="0" w:color="auto"/>
            </w:tcBorders>
          </w:tcPr>
          <w:p w14:paraId="7B18AEE8" w14:textId="77777777" w:rsidR="00D867F7" w:rsidRPr="00702059" w:rsidRDefault="00D867F7" w:rsidP="002B11DD">
            <w:pPr>
              <w:jc w:val="center"/>
            </w:pPr>
            <w:r w:rsidRPr="00702059">
              <w:t>166,138</w:t>
            </w:r>
          </w:p>
        </w:tc>
        <w:tc>
          <w:tcPr>
            <w:tcW w:w="1339" w:type="dxa"/>
            <w:tcBorders>
              <w:top w:val="outset" w:sz="6" w:space="0" w:color="auto"/>
              <w:left w:val="outset" w:sz="6" w:space="0" w:color="auto"/>
              <w:bottom w:val="outset" w:sz="6" w:space="0" w:color="auto"/>
              <w:right w:val="outset" w:sz="6" w:space="0" w:color="auto"/>
            </w:tcBorders>
            <w:hideMark/>
          </w:tcPr>
          <w:p w14:paraId="7CFAF875" w14:textId="77777777" w:rsidR="00D867F7" w:rsidRPr="00297AA7" w:rsidRDefault="00D867F7" w:rsidP="002B11DD">
            <w:pPr>
              <w:spacing w:before="100" w:beforeAutospacing="1" w:after="100" w:afterAutospacing="1"/>
              <w:jc w:val="center"/>
            </w:pPr>
            <w:r>
              <w:t>183,367</w:t>
            </w:r>
          </w:p>
        </w:tc>
        <w:tc>
          <w:tcPr>
            <w:tcW w:w="1271" w:type="dxa"/>
            <w:tcBorders>
              <w:top w:val="outset" w:sz="6" w:space="0" w:color="auto"/>
              <w:left w:val="outset" w:sz="6" w:space="0" w:color="auto"/>
              <w:bottom w:val="outset" w:sz="6" w:space="0" w:color="auto"/>
              <w:right w:val="outset" w:sz="6" w:space="0" w:color="auto"/>
            </w:tcBorders>
            <w:hideMark/>
          </w:tcPr>
          <w:p w14:paraId="431AA7C0" w14:textId="77777777" w:rsidR="00D867F7" w:rsidRPr="00297AA7" w:rsidRDefault="00890669" w:rsidP="002B11DD">
            <w:pPr>
              <w:spacing w:before="100" w:beforeAutospacing="1" w:after="100" w:afterAutospacing="1"/>
              <w:jc w:val="center"/>
            </w:pPr>
            <w:r>
              <w:t>316,527</w:t>
            </w:r>
          </w:p>
        </w:tc>
        <w:tc>
          <w:tcPr>
            <w:tcW w:w="1488" w:type="dxa"/>
            <w:tcBorders>
              <w:top w:val="outset" w:sz="6" w:space="0" w:color="auto"/>
              <w:left w:val="outset" w:sz="6" w:space="0" w:color="auto"/>
              <w:bottom w:val="outset" w:sz="6" w:space="0" w:color="auto"/>
              <w:right w:val="outset" w:sz="6" w:space="0" w:color="auto"/>
            </w:tcBorders>
          </w:tcPr>
          <w:p w14:paraId="70A24557" w14:textId="77777777" w:rsidR="00D867F7" w:rsidRPr="00297AA7" w:rsidRDefault="00EC150E" w:rsidP="002B11DD">
            <w:pPr>
              <w:spacing w:before="100" w:beforeAutospacing="1" w:after="100" w:afterAutospacing="1"/>
              <w:jc w:val="center"/>
            </w:pPr>
            <w:r>
              <w:t>+150,389</w:t>
            </w:r>
          </w:p>
        </w:tc>
        <w:tc>
          <w:tcPr>
            <w:tcW w:w="1715" w:type="dxa"/>
            <w:tcBorders>
              <w:top w:val="outset" w:sz="6" w:space="0" w:color="auto"/>
              <w:left w:val="outset" w:sz="6" w:space="0" w:color="auto"/>
              <w:bottom w:val="outset" w:sz="6" w:space="0" w:color="auto"/>
              <w:right w:val="outset" w:sz="6" w:space="0" w:color="auto"/>
            </w:tcBorders>
            <w:hideMark/>
          </w:tcPr>
          <w:p w14:paraId="1C4B1D95" w14:textId="77777777" w:rsidR="00D867F7" w:rsidRPr="00297AA7" w:rsidRDefault="00890669" w:rsidP="002B11DD">
            <w:pPr>
              <w:spacing w:before="100" w:beforeAutospacing="1" w:after="100" w:afterAutospacing="1"/>
              <w:jc w:val="center"/>
            </w:pPr>
            <w:r>
              <w:t>+133,160</w:t>
            </w:r>
          </w:p>
        </w:tc>
      </w:tr>
      <w:tr w:rsidR="00D867F7" w:rsidRPr="00297AA7" w14:paraId="06ED365F" w14:textId="77777777" w:rsidTr="00D867F7">
        <w:trPr>
          <w:tblCellSpacing w:w="0" w:type="dxa"/>
        </w:trPr>
        <w:tc>
          <w:tcPr>
            <w:tcW w:w="2494" w:type="dxa"/>
            <w:tcBorders>
              <w:top w:val="outset" w:sz="6" w:space="0" w:color="auto"/>
              <w:left w:val="outset" w:sz="6" w:space="0" w:color="auto"/>
              <w:bottom w:val="outset" w:sz="6" w:space="0" w:color="auto"/>
              <w:right w:val="outset" w:sz="6" w:space="0" w:color="auto"/>
            </w:tcBorders>
            <w:hideMark/>
          </w:tcPr>
          <w:p w14:paraId="7B35BA5A" w14:textId="77777777" w:rsidR="00D867F7" w:rsidRPr="00297AA7" w:rsidRDefault="00D867F7" w:rsidP="002B11DD">
            <w:pPr>
              <w:spacing w:before="100" w:beforeAutospacing="1" w:after="100" w:afterAutospacing="1"/>
            </w:pPr>
            <w:bookmarkStart w:id="14" w:name="_Hlk113774"/>
            <w:r>
              <w:t>Praėjusių</w:t>
            </w:r>
            <w:r w:rsidRPr="00297AA7">
              <w:t xml:space="preserve"> metų nepanaudotos biudžeto lėšos (apyvartos lėšos)</w:t>
            </w:r>
            <w:r>
              <w:t xml:space="preserve"> </w:t>
            </w:r>
          </w:p>
        </w:tc>
        <w:tc>
          <w:tcPr>
            <w:tcW w:w="1361" w:type="dxa"/>
            <w:tcBorders>
              <w:top w:val="outset" w:sz="6" w:space="0" w:color="auto"/>
              <w:left w:val="outset" w:sz="6" w:space="0" w:color="auto"/>
              <w:bottom w:val="outset" w:sz="6" w:space="0" w:color="auto"/>
              <w:right w:val="outset" w:sz="6" w:space="0" w:color="auto"/>
            </w:tcBorders>
          </w:tcPr>
          <w:p w14:paraId="573B1125" w14:textId="77777777" w:rsidR="00D867F7" w:rsidRDefault="00D867F7" w:rsidP="002B11DD">
            <w:pPr>
              <w:jc w:val="center"/>
            </w:pPr>
            <w:r w:rsidRPr="00702059">
              <w:t>3704,710</w:t>
            </w:r>
          </w:p>
        </w:tc>
        <w:tc>
          <w:tcPr>
            <w:tcW w:w="1339" w:type="dxa"/>
            <w:tcBorders>
              <w:top w:val="outset" w:sz="6" w:space="0" w:color="auto"/>
              <w:left w:val="outset" w:sz="6" w:space="0" w:color="auto"/>
              <w:bottom w:val="outset" w:sz="6" w:space="0" w:color="auto"/>
              <w:right w:val="outset" w:sz="6" w:space="0" w:color="auto"/>
            </w:tcBorders>
            <w:hideMark/>
          </w:tcPr>
          <w:p w14:paraId="100D9B6D" w14:textId="77777777" w:rsidR="00D867F7" w:rsidRPr="00297AA7" w:rsidRDefault="00D867F7" w:rsidP="002B11DD">
            <w:pPr>
              <w:spacing w:before="100" w:beforeAutospacing="1" w:after="100" w:afterAutospacing="1"/>
              <w:jc w:val="center"/>
            </w:pPr>
            <w:r w:rsidRPr="00702059">
              <w:t>37</w:t>
            </w:r>
            <w:r>
              <w:t>3</w:t>
            </w:r>
            <w:r w:rsidRPr="00702059">
              <w:t>4,710</w:t>
            </w:r>
          </w:p>
        </w:tc>
        <w:tc>
          <w:tcPr>
            <w:tcW w:w="1271" w:type="dxa"/>
            <w:tcBorders>
              <w:top w:val="outset" w:sz="6" w:space="0" w:color="auto"/>
              <w:left w:val="outset" w:sz="6" w:space="0" w:color="auto"/>
              <w:bottom w:val="outset" w:sz="6" w:space="0" w:color="auto"/>
              <w:right w:val="outset" w:sz="6" w:space="0" w:color="auto"/>
            </w:tcBorders>
            <w:hideMark/>
          </w:tcPr>
          <w:p w14:paraId="7510560C" w14:textId="77777777" w:rsidR="00D867F7" w:rsidRPr="00297AA7" w:rsidRDefault="00890669" w:rsidP="002B11DD">
            <w:pPr>
              <w:spacing w:before="100" w:beforeAutospacing="1" w:after="100" w:afterAutospacing="1"/>
              <w:jc w:val="center"/>
            </w:pPr>
            <w:r>
              <w:t>5881,370</w:t>
            </w:r>
          </w:p>
        </w:tc>
        <w:tc>
          <w:tcPr>
            <w:tcW w:w="1488" w:type="dxa"/>
            <w:tcBorders>
              <w:top w:val="outset" w:sz="6" w:space="0" w:color="auto"/>
              <w:left w:val="outset" w:sz="6" w:space="0" w:color="auto"/>
              <w:bottom w:val="outset" w:sz="6" w:space="0" w:color="auto"/>
              <w:right w:val="outset" w:sz="6" w:space="0" w:color="auto"/>
            </w:tcBorders>
          </w:tcPr>
          <w:p w14:paraId="0EC20612" w14:textId="77777777" w:rsidR="00D867F7" w:rsidRPr="00297AA7" w:rsidRDefault="00EC150E" w:rsidP="002B11DD">
            <w:pPr>
              <w:spacing w:before="100" w:beforeAutospacing="1" w:after="100" w:afterAutospacing="1"/>
              <w:jc w:val="center"/>
            </w:pPr>
            <w:r>
              <w:t>+2176,660</w:t>
            </w:r>
          </w:p>
        </w:tc>
        <w:tc>
          <w:tcPr>
            <w:tcW w:w="1715" w:type="dxa"/>
            <w:tcBorders>
              <w:top w:val="outset" w:sz="6" w:space="0" w:color="auto"/>
              <w:left w:val="outset" w:sz="6" w:space="0" w:color="auto"/>
              <w:bottom w:val="outset" w:sz="6" w:space="0" w:color="auto"/>
              <w:right w:val="outset" w:sz="6" w:space="0" w:color="auto"/>
            </w:tcBorders>
            <w:hideMark/>
          </w:tcPr>
          <w:p w14:paraId="446F8FD2" w14:textId="77777777" w:rsidR="00D867F7" w:rsidRPr="00297AA7" w:rsidRDefault="00890669" w:rsidP="002B11DD">
            <w:pPr>
              <w:spacing w:before="100" w:beforeAutospacing="1" w:after="100" w:afterAutospacing="1"/>
              <w:jc w:val="center"/>
            </w:pPr>
            <w:r>
              <w:t>+2146,660</w:t>
            </w:r>
          </w:p>
        </w:tc>
      </w:tr>
    </w:tbl>
    <w:bookmarkEnd w:id="12"/>
    <w:bookmarkEnd w:id="14"/>
    <w:p w14:paraId="554B8E23" w14:textId="57A10B07" w:rsidR="006B1696" w:rsidRPr="006B1696" w:rsidRDefault="006B1696" w:rsidP="00856969">
      <w:pPr>
        <w:spacing w:before="100" w:beforeAutospacing="1" w:after="100" w:afterAutospacing="1"/>
        <w:ind w:firstLine="1296"/>
        <w:jc w:val="both"/>
      </w:pPr>
      <w:r w:rsidRPr="006B1696">
        <w:t xml:space="preserve">Savivaldybės biudžeto pajamos savarankiškoms funkcijoms vykdyti yra didesnės </w:t>
      </w:r>
      <w:r w:rsidR="00EC150E">
        <w:t>614,01</w:t>
      </w:r>
      <w:r w:rsidRPr="006B1696">
        <w:t xml:space="preserve"> </w:t>
      </w:r>
      <w:bookmarkStart w:id="15" w:name="_Hlk30944312"/>
      <w:r w:rsidRPr="006B1696">
        <w:t>tūkst. Eur</w:t>
      </w:r>
      <w:r w:rsidR="00EC150E">
        <w:t xml:space="preserve"> lyginant su 2019 m. patvirtint</w:t>
      </w:r>
      <w:r w:rsidR="004B0AD3">
        <w:t>u</w:t>
      </w:r>
      <w:r w:rsidR="00EC150E">
        <w:t xml:space="preserve"> pajamų </w:t>
      </w:r>
      <w:bookmarkEnd w:id="15"/>
      <w:r w:rsidR="004B0AD3">
        <w:t xml:space="preserve">planu </w:t>
      </w:r>
      <w:r w:rsidR="00EC150E">
        <w:t>arba 574,01</w:t>
      </w:r>
      <w:r w:rsidRPr="006B1696">
        <w:t xml:space="preserve"> </w:t>
      </w:r>
      <w:r w:rsidR="00EC150E" w:rsidRPr="006B1696">
        <w:t>tūkst. Eur</w:t>
      </w:r>
      <w:r w:rsidR="00EC150E">
        <w:t xml:space="preserve"> lyginant su 2019 m. patikslint</w:t>
      </w:r>
      <w:r w:rsidR="004B0AD3">
        <w:t>u</w:t>
      </w:r>
      <w:r w:rsidR="00EC150E">
        <w:t xml:space="preserve"> pajamų</w:t>
      </w:r>
      <w:r w:rsidR="004B0AD3">
        <w:t xml:space="preserve"> planu</w:t>
      </w:r>
      <w:r w:rsidR="00EC150E">
        <w:t xml:space="preserve">. </w:t>
      </w:r>
      <w:r w:rsidRPr="006B1696">
        <w:t>Savivaldybės biudžeto einamųjų metų pajamos koreguojamos pridedant nepanaudotą pajamų dalį – praėjusių metų biudžeto pajamų dalį, kuri viršija praėjusių metų panaudotus asignavimus. 20</w:t>
      </w:r>
      <w:r w:rsidR="00CD5D80">
        <w:t>20</w:t>
      </w:r>
      <w:r w:rsidRPr="006B1696">
        <w:t xml:space="preserve"> metų nepanaudota pajamų dalis yra </w:t>
      </w:r>
      <w:r w:rsidR="00EC150E">
        <w:t>5881,370</w:t>
      </w:r>
      <w:r w:rsidRPr="006B1696">
        <w:t xml:space="preserve"> tūkst. Eur</w:t>
      </w:r>
      <w:r w:rsidR="00EC150E">
        <w:t xml:space="preserve"> arba 2176,660 </w:t>
      </w:r>
      <w:r w:rsidR="00EC150E" w:rsidRPr="006B1696">
        <w:t>tūkst. Eur</w:t>
      </w:r>
    </w:p>
    <w:p w14:paraId="4E98B453" w14:textId="77777777" w:rsidR="00EA5D57" w:rsidRPr="009758FB" w:rsidRDefault="00EA5D57" w:rsidP="00856969">
      <w:pPr>
        <w:ind w:firstLine="1296"/>
        <w:jc w:val="both"/>
        <w:rPr>
          <w:b/>
          <w:sz w:val="28"/>
          <w:szCs w:val="28"/>
        </w:rPr>
      </w:pPr>
      <w:r w:rsidRPr="009758FB">
        <w:rPr>
          <w:b/>
          <w:sz w:val="28"/>
          <w:szCs w:val="28"/>
        </w:rPr>
        <w:t>Planuojam</w:t>
      </w:r>
      <w:r w:rsidR="00856969">
        <w:rPr>
          <w:b/>
          <w:sz w:val="28"/>
          <w:szCs w:val="28"/>
        </w:rPr>
        <w:t>i</w:t>
      </w:r>
      <w:r w:rsidRPr="009758FB">
        <w:rPr>
          <w:b/>
          <w:sz w:val="28"/>
          <w:szCs w:val="28"/>
        </w:rPr>
        <w:t xml:space="preserve"> savivaldybės biudžeto </w:t>
      </w:r>
      <w:r w:rsidR="004C3428">
        <w:rPr>
          <w:b/>
          <w:sz w:val="28"/>
          <w:szCs w:val="28"/>
        </w:rPr>
        <w:t>asignavimai</w:t>
      </w:r>
      <w:r w:rsidRPr="009758FB">
        <w:rPr>
          <w:b/>
          <w:sz w:val="28"/>
          <w:szCs w:val="28"/>
        </w:rPr>
        <w:t xml:space="preserve"> </w:t>
      </w:r>
      <w:r w:rsidR="00856969">
        <w:rPr>
          <w:b/>
          <w:sz w:val="28"/>
          <w:szCs w:val="28"/>
        </w:rPr>
        <w:t xml:space="preserve">yra </w:t>
      </w:r>
      <w:r w:rsidR="00EC150E">
        <w:rPr>
          <w:b/>
          <w:sz w:val="28"/>
          <w:szCs w:val="28"/>
        </w:rPr>
        <w:t>323</w:t>
      </w:r>
      <w:r w:rsidR="00CD5D80">
        <w:rPr>
          <w:b/>
          <w:sz w:val="28"/>
          <w:szCs w:val="28"/>
        </w:rPr>
        <w:t>78</w:t>
      </w:r>
      <w:r w:rsidR="00EC150E">
        <w:rPr>
          <w:b/>
          <w:sz w:val="28"/>
          <w:szCs w:val="28"/>
        </w:rPr>
        <w:t>,</w:t>
      </w:r>
      <w:r w:rsidR="00CD5D80">
        <w:rPr>
          <w:b/>
          <w:sz w:val="28"/>
          <w:szCs w:val="28"/>
        </w:rPr>
        <w:t>88</w:t>
      </w:r>
      <w:r w:rsidR="00EC150E">
        <w:rPr>
          <w:b/>
          <w:sz w:val="28"/>
          <w:szCs w:val="28"/>
        </w:rPr>
        <w:t>1</w:t>
      </w:r>
      <w:r w:rsidRPr="009758FB">
        <w:rPr>
          <w:b/>
          <w:sz w:val="28"/>
          <w:szCs w:val="28"/>
        </w:rPr>
        <w:t xml:space="preserve"> </w:t>
      </w:r>
      <w:r w:rsidR="009F444C">
        <w:rPr>
          <w:b/>
          <w:sz w:val="28"/>
          <w:szCs w:val="28"/>
        </w:rPr>
        <w:t>tūkst. eurų</w:t>
      </w:r>
      <w:r w:rsidR="00A3524F">
        <w:rPr>
          <w:b/>
          <w:sz w:val="28"/>
          <w:szCs w:val="28"/>
        </w:rPr>
        <w:t xml:space="preserve"> ir</w:t>
      </w:r>
      <w:r w:rsidR="009F444C">
        <w:rPr>
          <w:b/>
          <w:sz w:val="28"/>
          <w:szCs w:val="28"/>
        </w:rPr>
        <w:t xml:space="preserve"> </w:t>
      </w:r>
      <w:r w:rsidR="00EC150E">
        <w:rPr>
          <w:b/>
          <w:sz w:val="28"/>
          <w:szCs w:val="28"/>
        </w:rPr>
        <w:t>316,527</w:t>
      </w:r>
      <w:r w:rsidR="009F444C">
        <w:rPr>
          <w:b/>
          <w:sz w:val="28"/>
          <w:szCs w:val="28"/>
        </w:rPr>
        <w:t xml:space="preserve"> tūkst. eurų finansinių įsipareigojimų vykdymas (paskolų grąžinimas)</w:t>
      </w:r>
      <w:r w:rsidRPr="009758FB">
        <w:rPr>
          <w:b/>
          <w:sz w:val="28"/>
          <w:szCs w:val="28"/>
        </w:rPr>
        <w:t>.</w:t>
      </w:r>
    </w:p>
    <w:p w14:paraId="534AA54D" w14:textId="77777777" w:rsidR="00EA5D57" w:rsidRDefault="00EA5D57" w:rsidP="009F444C">
      <w:pPr>
        <w:ind w:firstLine="1296"/>
        <w:jc w:val="center"/>
      </w:pPr>
    </w:p>
    <w:p w14:paraId="71B449F2" w14:textId="7344D439" w:rsidR="00A57235" w:rsidRDefault="00EA5D57" w:rsidP="00A57235">
      <w:pPr>
        <w:ind w:firstLine="1296"/>
        <w:jc w:val="center"/>
        <w:rPr>
          <w:b/>
          <w:color w:val="2F5496"/>
        </w:rPr>
      </w:pPr>
      <w:r w:rsidRPr="00B94EBC">
        <w:rPr>
          <w:b/>
          <w:color w:val="2F5496"/>
        </w:rPr>
        <w:lastRenderedPageBreak/>
        <w:t>20</w:t>
      </w:r>
      <w:r w:rsidR="00AE63E4">
        <w:rPr>
          <w:b/>
          <w:color w:val="2F5496"/>
        </w:rPr>
        <w:t xml:space="preserve">20 </w:t>
      </w:r>
      <w:r w:rsidRPr="00B94EBC">
        <w:rPr>
          <w:b/>
          <w:color w:val="2F5496"/>
        </w:rPr>
        <w:t xml:space="preserve">metų biudžeto asignavimai pagal </w:t>
      </w:r>
      <w:r w:rsidR="009F444C" w:rsidRPr="00B94EBC">
        <w:rPr>
          <w:b/>
          <w:color w:val="2F5496"/>
        </w:rPr>
        <w:t>l</w:t>
      </w:r>
      <w:r w:rsidRPr="00B94EBC">
        <w:rPr>
          <w:b/>
          <w:color w:val="2F5496"/>
        </w:rPr>
        <w:t>ėšų šaltinius</w:t>
      </w:r>
    </w:p>
    <w:p w14:paraId="328E8877" w14:textId="77777777" w:rsidR="00383553" w:rsidRDefault="00383553" w:rsidP="00A57235">
      <w:pPr>
        <w:ind w:firstLine="1296"/>
        <w:jc w:val="center"/>
        <w:rPr>
          <w:b/>
          <w:color w:val="2F5496"/>
        </w:rPr>
      </w:pPr>
    </w:p>
    <w:p w14:paraId="6B1573E4" w14:textId="49DEB583" w:rsidR="00383553" w:rsidRDefault="00383553" w:rsidP="00383553">
      <w:pPr>
        <w:rPr>
          <w:b/>
          <w:color w:val="2F5496"/>
        </w:rPr>
      </w:pPr>
      <w:r>
        <w:rPr>
          <w:noProof/>
        </w:rPr>
        <w:drawing>
          <wp:inline distT="0" distB="0" distL="0" distR="0" wp14:anchorId="7FE6323C" wp14:editId="714DD63C">
            <wp:extent cx="6120130" cy="2988310"/>
            <wp:effectExtent l="0" t="0" r="13970" b="2540"/>
            <wp:docPr id="5" name="Diagrama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743F57B-76B1-4A96-B67C-32978283B0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A1969E" w14:textId="1F1C0191" w:rsidR="00383553" w:rsidRDefault="00383553" w:rsidP="00A57235">
      <w:pPr>
        <w:ind w:firstLine="1296"/>
        <w:jc w:val="center"/>
        <w:rPr>
          <w:b/>
          <w:color w:val="2F5496"/>
        </w:rPr>
      </w:pPr>
    </w:p>
    <w:p w14:paraId="2C85B3FD" w14:textId="19725E10" w:rsidR="00CD5D80" w:rsidRDefault="00CD5D80" w:rsidP="00AD1916">
      <w:pPr>
        <w:rPr>
          <w:b/>
          <w:color w:val="2F5496"/>
        </w:rPr>
      </w:pPr>
    </w:p>
    <w:p w14:paraId="2056BA1E" w14:textId="77777777" w:rsidR="00A57235" w:rsidRDefault="00A57235" w:rsidP="00A57235"/>
    <w:p w14:paraId="3A2ED622" w14:textId="77777777" w:rsidR="00BA1A14" w:rsidRDefault="00CE5415" w:rsidP="003A3515">
      <w:pPr>
        <w:ind w:firstLine="1296"/>
        <w:jc w:val="both"/>
      </w:pPr>
      <w:r w:rsidRPr="00DB179D">
        <w:t xml:space="preserve">Susumavus planuojamas gauti savivaldybės biudžeto pajamas ir kitus finansavimo šaltinius </w:t>
      </w:r>
      <w:r w:rsidR="003E5848" w:rsidRPr="00DB179D">
        <w:t>Visagino savivaldybės 20</w:t>
      </w:r>
      <w:r w:rsidR="00A57235">
        <w:t>20</w:t>
      </w:r>
      <w:r w:rsidR="003E5848" w:rsidRPr="00DB179D">
        <w:t xml:space="preserve"> metų biudžeto asignavimai planuojami </w:t>
      </w:r>
      <w:r w:rsidR="00A57235">
        <w:t>323</w:t>
      </w:r>
      <w:r w:rsidR="00AD1916">
        <w:t>78</w:t>
      </w:r>
      <w:r w:rsidR="00A57235">
        <w:t>,</w:t>
      </w:r>
      <w:r w:rsidR="00AD1916">
        <w:t>88</w:t>
      </w:r>
      <w:r w:rsidR="00A57235">
        <w:t>1</w:t>
      </w:r>
      <w:r w:rsidR="00A3524F" w:rsidRPr="0035227B">
        <w:t xml:space="preserve"> tūkst. </w:t>
      </w:r>
      <w:r w:rsidR="00404D69" w:rsidRPr="0035227B">
        <w:t>eurų</w:t>
      </w:r>
      <w:r w:rsidR="003E5848" w:rsidRPr="0035227B">
        <w:t xml:space="preserve">, </w:t>
      </w:r>
      <w:r w:rsidR="003E5848" w:rsidRPr="00207857">
        <w:t xml:space="preserve">iš </w:t>
      </w:r>
      <w:r w:rsidR="004A0CCA" w:rsidRPr="00207857">
        <w:t>j</w:t>
      </w:r>
      <w:r w:rsidR="003E5848" w:rsidRPr="00207857">
        <w:t xml:space="preserve">ų išlaidoms </w:t>
      </w:r>
      <w:r w:rsidR="00AC4561" w:rsidRPr="00207857">
        <w:t>–</w:t>
      </w:r>
      <w:r w:rsidR="003E5848" w:rsidRPr="00207857">
        <w:t xml:space="preserve"> </w:t>
      </w:r>
      <w:r w:rsidR="00207857" w:rsidRPr="00207857">
        <w:t>24499,790</w:t>
      </w:r>
      <w:r w:rsidR="00404D69" w:rsidRPr="00207857">
        <w:t xml:space="preserve"> </w:t>
      </w:r>
      <w:r w:rsidR="00515696" w:rsidRPr="00207857">
        <w:t xml:space="preserve">tūkst. </w:t>
      </w:r>
      <w:r w:rsidR="00404D69" w:rsidRPr="00207857">
        <w:t>eur</w:t>
      </w:r>
      <w:r w:rsidR="00515696" w:rsidRPr="00207857">
        <w:t>ų</w:t>
      </w:r>
      <w:r w:rsidR="003E5848" w:rsidRPr="00207857">
        <w:t xml:space="preserve">, arba </w:t>
      </w:r>
      <w:r w:rsidR="00207857" w:rsidRPr="00207857">
        <w:t>75,67</w:t>
      </w:r>
      <w:r w:rsidR="003E5848" w:rsidRPr="00207857">
        <w:t xml:space="preserve"> proc. visų asignavimų</w:t>
      </w:r>
      <w:r w:rsidR="00644FD8" w:rsidRPr="00207857">
        <w:t>,</w:t>
      </w:r>
      <w:r w:rsidR="003E5848" w:rsidRPr="00207857">
        <w:t xml:space="preserve"> turtui įsigyti </w:t>
      </w:r>
      <w:r w:rsidR="00AC4561" w:rsidRPr="00207857">
        <w:t>–</w:t>
      </w:r>
      <w:r w:rsidR="003E5848" w:rsidRPr="00207857">
        <w:t xml:space="preserve"> </w:t>
      </w:r>
      <w:r w:rsidR="00207857" w:rsidRPr="00207857">
        <w:t>7879,091</w:t>
      </w:r>
      <w:r w:rsidR="00A3524F" w:rsidRPr="00207857">
        <w:t xml:space="preserve"> tūkst. eurų</w:t>
      </w:r>
      <w:r w:rsidR="003E5848" w:rsidRPr="00207857">
        <w:t xml:space="preserve">, arba </w:t>
      </w:r>
      <w:r w:rsidR="00207857" w:rsidRPr="00207857">
        <w:t>24,33</w:t>
      </w:r>
      <w:r w:rsidR="003E5848" w:rsidRPr="00207857">
        <w:t xml:space="preserve"> proc. Asignavim</w:t>
      </w:r>
      <w:r w:rsidR="00DB179D" w:rsidRPr="00207857">
        <w:t>ų</w:t>
      </w:r>
      <w:r w:rsidR="003E5848" w:rsidRPr="00207857">
        <w:t xml:space="preserve"> </w:t>
      </w:r>
      <w:r w:rsidR="00B22E60" w:rsidRPr="00207857">
        <w:t>mažiau negu</w:t>
      </w:r>
      <w:r w:rsidR="003E5848" w:rsidRPr="00207857">
        <w:t xml:space="preserve"> pajam</w:t>
      </w:r>
      <w:r w:rsidR="00DB179D" w:rsidRPr="00207857">
        <w:t>ų</w:t>
      </w:r>
      <w:r w:rsidR="00A3524F" w:rsidRPr="00207857">
        <w:t xml:space="preserve"> </w:t>
      </w:r>
      <w:r w:rsidR="009B51B5" w:rsidRPr="00207857">
        <w:t>susumavus</w:t>
      </w:r>
      <w:r w:rsidR="00A3524F" w:rsidRPr="00207857">
        <w:t xml:space="preserve"> skolint</w:t>
      </w:r>
      <w:r w:rsidR="009B51B5" w:rsidRPr="00207857">
        <w:t xml:space="preserve">as </w:t>
      </w:r>
      <w:r w:rsidR="00A3524F" w:rsidRPr="00207857">
        <w:t>lėš</w:t>
      </w:r>
      <w:r w:rsidR="009B51B5" w:rsidRPr="00207857">
        <w:t xml:space="preserve">as </w:t>
      </w:r>
      <w:r w:rsidR="00A3524F" w:rsidRPr="00207857">
        <w:t>ir praėjusių metų nepanaudot</w:t>
      </w:r>
      <w:r w:rsidR="009B51B5" w:rsidRPr="00207857">
        <w:t>as</w:t>
      </w:r>
      <w:r w:rsidR="009B51B5" w:rsidRPr="0035227B">
        <w:t xml:space="preserve"> </w:t>
      </w:r>
      <w:r w:rsidR="00A3524F" w:rsidRPr="0035227B">
        <w:t>biudžeto lėš</w:t>
      </w:r>
      <w:r w:rsidR="009B51B5" w:rsidRPr="0035227B">
        <w:t xml:space="preserve">as </w:t>
      </w:r>
      <w:r w:rsidR="00A3524F" w:rsidRPr="0035227B">
        <w:t>(apyvartos lėš</w:t>
      </w:r>
      <w:r w:rsidR="009B51B5" w:rsidRPr="0035227B">
        <w:t>as</w:t>
      </w:r>
      <w:r w:rsidR="00A3524F" w:rsidRPr="0035227B">
        <w:t xml:space="preserve">) </w:t>
      </w:r>
      <w:r w:rsidR="00A57235">
        <w:t>316,527</w:t>
      </w:r>
      <w:r w:rsidR="00DB179D" w:rsidRPr="0035227B">
        <w:t xml:space="preserve"> </w:t>
      </w:r>
      <w:r w:rsidR="00BA1A14" w:rsidRPr="0035227B">
        <w:t xml:space="preserve">tūkst. </w:t>
      </w:r>
      <w:r w:rsidR="00DB179D" w:rsidRPr="0035227B">
        <w:t>eur</w:t>
      </w:r>
      <w:r w:rsidR="00BA1A14" w:rsidRPr="0035227B">
        <w:t>ų</w:t>
      </w:r>
      <w:r w:rsidR="00783CE7" w:rsidRPr="0035227B">
        <w:t xml:space="preserve"> </w:t>
      </w:r>
      <w:r w:rsidR="00B22E60" w:rsidRPr="0035227B">
        <w:t xml:space="preserve">dėl </w:t>
      </w:r>
      <w:r w:rsidR="00265AAE" w:rsidRPr="0035227B">
        <w:t xml:space="preserve">planuojamo </w:t>
      </w:r>
      <w:r w:rsidR="00A57235">
        <w:t>atitinkama suma</w:t>
      </w:r>
      <w:r w:rsidR="00265AAE" w:rsidRPr="0035227B">
        <w:t xml:space="preserve"> paskolos grąžinimo</w:t>
      </w:r>
      <w:r w:rsidR="008C1D85" w:rsidRPr="0035227B">
        <w:t>.</w:t>
      </w:r>
      <w:r w:rsidR="008C1D85" w:rsidRPr="00DB179D">
        <w:t xml:space="preserve"> </w:t>
      </w:r>
    </w:p>
    <w:p w14:paraId="31D9A9E6" w14:textId="77777777" w:rsidR="00515696" w:rsidRDefault="0058118B" w:rsidP="00BA1A14">
      <w:pPr>
        <w:spacing w:before="100" w:beforeAutospacing="1" w:after="100" w:afterAutospacing="1"/>
        <w:jc w:val="both"/>
        <w:rPr>
          <w:lang w:eastAsia="ar-SA"/>
        </w:rPr>
      </w:pPr>
      <w:r w:rsidRPr="00DB179D">
        <w:tab/>
      </w:r>
      <w:r w:rsidR="00644FD8" w:rsidRPr="00644FD8">
        <w:rPr>
          <w:lang w:eastAsia="ar-SA"/>
        </w:rPr>
        <w:t>Savivaldybės biudžeto asignavimai 20</w:t>
      </w:r>
      <w:r w:rsidR="00A57235">
        <w:rPr>
          <w:lang w:eastAsia="ar-SA"/>
        </w:rPr>
        <w:t>20</w:t>
      </w:r>
      <w:r w:rsidR="00644FD8" w:rsidRPr="00644FD8">
        <w:rPr>
          <w:lang w:eastAsia="ar-SA"/>
        </w:rPr>
        <w:t xml:space="preserve"> m. biudžetinėms įstaigoms planuojami vadovaujantis </w:t>
      </w:r>
      <w:r w:rsidR="00644FD8">
        <w:rPr>
          <w:lang w:eastAsia="ar-SA"/>
        </w:rPr>
        <w:t>Visagino</w:t>
      </w:r>
      <w:r w:rsidR="00644FD8" w:rsidRPr="00644FD8">
        <w:rPr>
          <w:lang w:eastAsia="ar-SA"/>
        </w:rPr>
        <w:t xml:space="preserve"> </w:t>
      </w:r>
      <w:r w:rsidR="00570148">
        <w:rPr>
          <w:lang w:eastAsia="ar-SA"/>
        </w:rPr>
        <w:t>savivaldybės</w:t>
      </w:r>
      <w:r w:rsidR="00644FD8" w:rsidRPr="00644FD8">
        <w:rPr>
          <w:lang w:eastAsia="ar-SA"/>
        </w:rPr>
        <w:t xml:space="preserve"> tarybos sprendimais</w:t>
      </w:r>
      <w:r w:rsidR="00644FD8" w:rsidRPr="004639F9">
        <w:rPr>
          <w:lang w:eastAsia="ar-SA"/>
        </w:rPr>
        <w:t>, patv</w:t>
      </w:r>
      <w:r w:rsidR="0034793C">
        <w:rPr>
          <w:lang w:eastAsia="ar-SA"/>
        </w:rPr>
        <w:t>ir</w:t>
      </w:r>
      <w:r w:rsidR="00644FD8" w:rsidRPr="004639F9">
        <w:rPr>
          <w:lang w:eastAsia="ar-SA"/>
        </w:rPr>
        <w:t>tintais normatyvais, patvirtintomis programomis, atsižvelgiant į sutartinius įsipareigojimus ir strateginio veiklos plano projekte 20</w:t>
      </w:r>
      <w:r w:rsidR="00A57235">
        <w:rPr>
          <w:lang w:eastAsia="ar-SA"/>
        </w:rPr>
        <w:t>20</w:t>
      </w:r>
      <w:r w:rsidR="00644FD8" w:rsidRPr="004639F9">
        <w:rPr>
          <w:lang w:eastAsia="ar-SA"/>
        </w:rPr>
        <w:t xml:space="preserve"> metams numatomas priemonės. </w:t>
      </w:r>
    </w:p>
    <w:p w14:paraId="0657A457" w14:textId="115A7E0D" w:rsidR="009F5FA0" w:rsidRPr="00F66361" w:rsidRDefault="00644FD8" w:rsidP="00515696">
      <w:pPr>
        <w:spacing w:before="100" w:beforeAutospacing="1" w:after="100" w:afterAutospacing="1"/>
        <w:ind w:firstLine="1296"/>
        <w:jc w:val="both"/>
      </w:pPr>
      <w:r w:rsidRPr="00F66361">
        <w:rPr>
          <w:lang w:eastAsia="ar-SA"/>
        </w:rPr>
        <w:t xml:space="preserve">Savivaldybės biudžeto asignavimai paskirstyti </w:t>
      </w:r>
      <w:r w:rsidR="009B51B5" w:rsidRPr="00F66361">
        <w:rPr>
          <w:lang w:eastAsia="ar-SA"/>
        </w:rPr>
        <w:t>S</w:t>
      </w:r>
      <w:r w:rsidRPr="00F66361">
        <w:rPr>
          <w:lang w:eastAsia="ar-SA"/>
        </w:rPr>
        <w:t>avivaldybės vykd</w:t>
      </w:r>
      <w:r w:rsidR="00B31AD4" w:rsidRPr="00F66361">
        <w:rPr>
          <w:lang w:eastAsia="ar-SA"/>
        </w:rPr>
        <w:t xml:space="preserve">omoms programoms finansuoti. Savivaldybės biudžete planuojamas </w:t>
      </w:r>
      <w:r w:rsidR="00A57235" w:rsidRPr="00F66361">
        <w:rPr>
          <w:lang w:eastAsia="ar-SA"/>
        </w:rPr>
        <w:t>8</w:t>
      </w:r>
      <w:r w:rsidR="00B31AD4" w:rsidRPr="00F66361">
        <w:rPr>
          <w:lang w:eastAsia="ar-SA"/>
        </w:rPr>
        <w:t>000 eurų Savivaldybės administracijos direktoriaus rezervas.</w:t>
      </w:r>
      <w:r w:rsidR="0035227B" w:rsidRPr="00F66361">
        <w:rPr>
          <w:lang w:eastAsia="ar-SA"/>
        </w:rPr>
        <w:t xml:space="preserve"> </w:t>
      </w:r>
      <w:r w:rsidR="0035084C" w:rsidRPr="00F66361">
        <w:t xml:space="preserve">Vadovaujantis Lietuvos </w:t>
      </w:r>
      <w:r w:rsidR="004037F0" w:rsidRPr="00F66361">
        <w:t>R</w:t>
      </w:r>
      <w:r w:rsidR="0035084C" w:rsidRPr="00F66361">
        <w:t xml:space="preserve">espublikos </w:t>
      </w:r>
      <w:r w:rsidR="0035084C" w:rsidRPr="00F66361">
        <w:rPr>
          <w:color w:val="000000"/>
        </w:rPr>
        <w:t>kultūros ministro ir savivaldybių vadovų 2018 m. spalio 4 d. Memorandumu dėl bendradarbiavimo siekiant didinti savivaldybių kultūros ir meno darbuotojų darbo apmokėjimą, Lietuvos Respublikos 20</w:t>
      </w:r>
      <w:r w:rsidR="00A57235" w:rsidRPr="00F66361">
        <w:rPr>
          <w:color w:val="000000"/>
        </w:rPr>
        <w:t>20</w:t>
      </w:r>
      <w:r w:rsidR="0035084C" w:rsidRPr="00F66361">
        <w:rPr>
          <w:color w:val="000000"/>
        </w:rPr>
        <w:t xml:space="preserve"> metų valstybės biudžeto ir savivaldybių biudžetų finansinių rodiklių patvirtinimo įstatymo 6 priedu, </w:t>
      </w:r>
      <w:r w:rsidR="004037F0" w:rsidRPr="00F66361">
        <w:rPr>
          <w:color w:val="000000"/>
        </w:rPr>
        <w:t>Lietuvos Respublikos valstybės tarnybos įstatymo, į</w:t>
      </w:r>
      <w:r w:rsidR="006841A4" w:rsidRPr="00F66361">
        <w:rPr>
          <w:color w:val="000000"/>
        </w:rPr>
        <w:t>si</w:t>
      </w:r>
      <w:r w:rsidR="004037F0" w:rsidRPr="00F66361">
        <w:rPr>
          <w:color w:val="000000"/>
        </w:rPr>
        <w:t>galio</w:t>
      </w:r>
      <w:r w:rsidR="006841A4" w:rsidRPr="00F66361">
        <w:rPr>
          <w:color w:val="000000"/>
        </w:rPr>
        <w:t>jus</w:t>
      </w:r>
      <w:r w:rsidR="004037F0" w:rsidRPr="00F66361">
        <w:rPr>
          <w:color w:val="000000"/>
        </w:rPr>
        <w:t xml:space="preserve">io </w:t>
      </w:r>
      <w:r w:rsidR="00E14033" w:rsidRPr="00F66361">
        <w:rPr>
          <w:color w:val="000000"/>
        </w:rPr>
        <w:t>20</w:t>
      </w:r>
      <w:r w:rsidR="00616628" w:rsidRPr="00F66361">
        <w:rPr>
          <w:color w:val="000000"/>
        </w:rPr>
        <w:t>20</w:t>
      </w:r>
      <w:r w:rsidR="00E14033" w:rsidRPr="00F66361">
        <w:rPr>
          <w:color w:val="000000"/>
        </w:rPr>
        <w:t xml:space="preserve"> m. sausio 1 d.</w:t>
      </w:r>
      <w:r w:rsidR="006841A4" w:rsidRPr="00F66361">
        <w:rPr>
          <w:color w:val="000000"/>
        </w:rPr>
        <w:t>,</w:t>
      </w:r>
      <w:r w:rsidR="00E14033" w:rsidRPr="00F66361">
        <w:rPr>
          <w:color w:val="000000"/>
        </w:rPr>
        <w:t xml:space="preserve"> nuostat</w:t>
      </w:r>
      <w:r w:rsidR="006841A4" w:rsidRPr="00F66361">
        <w:rPr>
          <w:color w:val="000000"/>
        </w:rPr>
        <w:t>omis</w:t>
      </w:r>
      <w:r w:rsidR="00E14033" w:rsidRPr="00F66361">
        <w:rPr>
          <w:color w:val="000000"/>
        </w:rPr>
        <w:t xml:space="preserve">, </w:t>
      </w:r>
      <w:r w:rsidR="00951FFD" w:rsidRPr="00F66361">
        <w:rPr>
          <w:kern w:val="24"/>
        </w:rPr>
        <w:t>Valstybės ir savivaldybių įstaigų darbuotojų darbo apmokėjimo įstatymo pakeitim</w:t>
      </w:r>
      <w:r w:rsidR="00616628" w:rsidRPr="00F66361">
        <w:rPr>
          <w:kern w:val="24"/>
        </w:rPr>
        <w:t xml:space="preserve">o nuo </w:t>
      </w:r>
      <w:r w:rsidR="00616628" w:rsidRPr="00F66361">
        <w:rPr>
          <w:color w:val="000000"/>
        </w:rPr>
        <w:t>2020 m. sausio 1 d. įsigaliojusi</w:t>
      </w:r>
      <w:r w:rsidR="003A3515">
        <w:rPr>
          <w:color w:val="000000"/>
        </w:rPr>
        <w:t>omis</w:t>
      </w:r>
      <w:r w:rsidR="00616628" w:rsidRPr="00F66361">
        <w:rPr>
          <w:color w:val="000000"/>
        </w:rPr>
        <w:t xml:space="preserve"> nuostatomis</w:t>
      </w:r>
      <w:r w:rsidR="00951FFD" w:rsidRPr="00F66361">
        <w:rPr>
          <w:kern w:val="24"/>
        </w:rPr>
        <w:t xml:space="preserve">, </w:t>
      </w:r>
      <w:r w:rsidR="00616628" w:rsidRPr="00F66361">
        <w:rPr>
          <w:kern w:val="24"/>
        </w:rPr>
        <w:t xml:space="preserve">siekiant sudaryti </w:t>
      </w:r>
      <w:r w:rsidR="003A3515">
        <w:rPr>
          <w:kern w:val="24"/>
        </w:rPr>
        <w:t>bendrą</w:t>
      </w:r>
      <w:r w:rsidR="00616628" w:rsidRPr="00F66361">
        <w:rPr>
          <w:kern w:val="24"/>
        </w:rPr>
        <w:t xml:space="preserve"> požiūr</w:t>
      </w:r>
      <w:r w:rsidR="003A3515">
        <w:rPr>
          <w:kern w:val="24"/>
        </w:rPr>
        <w:t>į</w:t>
      </w:r>
      <w:r w:rsidR="00616628" w:rsidRPr="00F66361">
        <w:rPr>
          <w:kern w:val="24"/>
        </w:rPr>
        <w:t xml:space="preserve"> į darbo užmokesčio pakeitimo procesą </w:t>
      </w:r>
      <w:r w:rsidR="0035084C" w:rsidRPr="00F66361">
        <w:t>siūloma</w:t>
      </w:r>
      <w:r w:rsidR="00951FFD" w:rsidRPr="00F66361">
        <w:t xml:space="preserve"> padidinti asignavimus</w:t>
      </w:r>
      <w:r w:rsidR="006841A4" w:rsidRPr="00F66361">
        <w:t>,</w:t>
      </w:r>
      <w:r w:rsidR="00951FFD" w:rsidRPr="00F66361">
        <w:t xml:space="preserve"> skirtus biudžetinių įstaigų </w:t>
      </w:r>
      <w:r w:rsidR="00C532CE" w:rsidRPr="00F66361">
        <w:t xml:space="preserve">darbuotojų </w:t>
      </w:r>
      <w:r w:rsidR="00951FFD" w:rsidRPr="00F66361">
        <w:t>darbo užmokesčiui</w:t>
      </w:r>
      <w:r w:rsidR="00857304" w:rsidRPr="00F66361">
        <w:t xml:space="preserve"> ir socialini</w:t>
      </w:r>
      <w:r w:rsidR="00C532CE" w:rsidRPr="00F66361">
        <w:t>o</w:t>
      </w:r>
      <w:r w:rsidR="00857304" w:rsidRPr="00F66361">
        <w:t xml:space="preserve"> draudimo įmokoms</w:t>
      </w:r>
      <w:r w:rsidR="00E14033" w:rsidRPr="00F66361">
        <w:t>:</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1701"/>
        <w:gridCol w:w="1701"/>
        <w:gridCol w:w="1842"/>
      </w:tblGrid>
      <w:tr w:rsidR="00616628" w:rsidRPr="00A57235" w14:paraId="1BE30035" w14:textId="77777777" w:rsidTr="00616628">
        <w:trPr>
          <w:tblCellSpacing w:w="0" w:type="dxa"/>
        </w:trPr>
        <w:tc>
          <w:tcPr>
            <w:tcW w:w="4410" w:type="dxa"/>
            <w:tcBorders>
              <w:top w:val="outset" w:sz="6" w:space="0" w:color="auto"/>
              <w:left w:val="outset" w:sz="6" w:space="0" w:color="auto"/>
              <w:bottom w:val="outset" w:sz="6" w:space="0" w:color="auto"/>
              <w:right w:val="outset" w:sz="6" w:space="0" w:color="auto"/>
            </w:tcBorders>
            <w:hideMark/>
          </w:tcPr>
          <w:p w14:paraId="6B485187" w14:textId="77777777" w:rsidR="00616628" w:rsidRPr="00207857" w:rsidRDefault="00616628" w:rsidP="00616628">
            <w:pPr>
              <w:spacing w:before="100" w:beforeAutospacing="1" w:after="100" w:afterAutospacing="1"/>
              <w:jc w:val="center"/>
            </w:pPr>
            <w:r w:rsidRPr="00207857">
              <w:t>Finansavimo šaltinis</w:t>
            </w:r>
          </w:p>
        </w:tc>
        <w:tc>
          <w:tcPr>
            <w:tcW w:w="1701" w:type="dxa"/>
            <w:tcBorders>
              <w:top w:val="outset" w:sz="6" w:space="0" w:color="auto"/>
              <w:left w:val="outset" w:sz="6" w:space="0" w:color="auto"/>
              <w:bottom w:val="outset" w:sz="6" w:space="0" w:color="auto"/>
              <w:right w:val="outset" w:sz="6" w:space="0" w:color="auto"/>
            </w:tcBorders>
          </w:tcPr>
          <w:p w14:paraId="506CA386" w14:textId="77777777" w:rsidR="00616628" w:rsidRPr="00207857" w:rsidRDefault="00616628" w:rsidP="00616628">
            <w:pPr>
              <w:spacing w:before="100" w:beforeAutospacing="1" w:after="100" w:afterAutospacing="1"/>
              <w:jc w:val="center"/>
            </w:pPr>
            <w:r w:rsidRPr="00207857">
              <w:t>2019 metų patvirtintas  planas</w:t>
            </w:r>
          </w:p>
        </w:tc>
        <w:tc>
          <w:tcPr>
            <w:tcW w:w="1701" w:type="dxa"/>
            <w:tcBorders>
              <w:top w:val="outset" w:sz="6" w:space="0" w:color="auto"/>
              <w:left w:val="outset" w:sz="6" w:space="0" w:color="auto"/>
              <w:bottom w:val="outset" w:sz="6" w:space="0" w:color="auto"/>
              <w:right w:val="outset" w:sz="6" w:space="0" w:color="auto"/>
            </w:tcBorders>
            <w:hideMark/>
          </w:tcPr>
          <w:p w14:paraId="72CA32B4" w14:textId="77777777" w:rsidR="00616628" w:rsidRPr="00207857" w:rsidRDefault="00616628" w:rsidP="00616628">
            <w:pPr>
              <w:spacing w:before="100" w:beforeAutospacing="1" w:after="100" w:afterAutospacing="1"/>
              <w:jc w:val="center"/>
            </w:pPr>
            <w:r w:rsidRPr="00207857">
              <w:t>2020 metų planas</w:t>
            </w:r>
          </w:p>
        </w:tc>
        <w:tc>
          <w:tcPr>
            <w:tcW w:w="1842" w:type="dxa"/>
            <w:tcBorders>
              <w:top w:val="outset" w:sz="6" w:space="0" w:color="auto"/>
              <w:left w:val="outset" w:sz="6" w:space="0" w:color="auto"/>
              <w:bottom w:val="outset" w:sz="6" w:space="0" w:color="auto"/>
              <w:right w:val="outset" w:sz="6" w:space="0" w:color="auto"/>
            </w:tcBorders>
            <w:hideMark/>
          </w:tcPr>
          <w:p w14:paraId="52081A3A" w14:textId="77777777" w:rsidR="00616628" w:rsidRPr="00F04F72" w:rsidRDefault="00616628" w:rsidP="00616628">
            <w:pPr>
              <w:spacing w:before="100" w:beforeAutospacing="1" w:after="100" w:afterAutospacing="1"/>
              <w:jc w:val="center"/>
            </w:pPr>
            <w:r w:rsidRPr="00F04F72">
              <w:t>Skirtumas</w:t>
            </w:r>
          </w:p>
        </w:tc>
      </w:tr>
      <w:tr w:rsidR="00616628" w:rsidRPr="00A57235" w14:paraId="4F73357D" w14:textId="77777777" w:rsidTr="00616628">
        <w:trPr>
          <w:tblCellSpacing w:w="0" w:type="dxa"/>
        </w:trPr>
        <w:tc>
          <w:tcPr>
            <w:tcW w:w="4410" w:type="dxa"/>
            <w:tcBorders>
              <w:top w:val="outset" w:sz="6" w:space="0" w:color="auto"/>
              <w:left w:val="outset" w:sz="6" w:space="0" w:color="auto"/>
              <w:bottom w:val="outset" w:sz="6" w:space="0" w:color="auto"/>
              <w:right w:val="outset" w:sz="6" w:space="0" w:color="auto"/>
            </w:tcBorders>
            <w:hideMark/>
          </w:tcPr>
          <w:p w14:paraId="6E8BC2A0" w14:textId="77777777" w:rsidR="00616628" w:rsidRPr="00207857" w:rsidRDefault="00616628" w:rsidP="00616628">
            <w:pPr>
              <w:spacing w:before="100" w:beforeAutospacing="1" w:after="100" w:afterAutospacing="1"/>
              <w:rPr>
                <w:b/>
              </w:rPr>
            </w:pPr>
            <w:r w:rsidRPr="00207857">
              <w:rPr>
                <w:b/>
              </w:rPr>
              <w:t xml:space="preserve">Asignavimai darbo užmokesčiui </w:t>
            </w:r>
            <w:r w:rsidR="00207857" w:rsidRPr="00207857">
              <w:rPr>
                <w:b/>
              </w:rPr>
              <w:t>i</w:t>
            </w:r>
            <w:r w:rsidRPr="00207857">
              <w:rPr>
                <w:b/>
              </w:rPr>
              <w:t>š viso:</w:t>
            </w:r>
          </w:p>
        </w:tc>
        <w:tc>
          <w:tcPr>
            <w:tcW w:w="1701" w:type="dxa"/>
            <w:tcBorders>
              <w:top w:val="outset" w:sz="6" w:space="0" w:color="auto"/>
              <w:left w:val="outset" w:sz="6" w:space="0" w:color="auto"/>
              <w:bottom w:val="outset" w:sz="6" w:space="0" w:color="auto"/>
              <w:right w:val="outset" w:sz="6" w:space="0" w:color="auto"/>
            </w:tcBorders>
          </w:tcPr>
          <w:p w14:paraId="02B65802" w14:textId="77777777" w:rsidR="00616628" w:rsidRPr="00207857" w:rsidRDefault="00207857" w:rsidP="00616628">
            <w:pPr>
              <w:spacing w:before="100" w:beforeAutospacing="1" w:after="100" w:afterAutospacing="1"/>
              <w:jc w:val="center"/>
              <w:rPr>
                <w:b/>
              </w:rPr>
            </w:pPr>
            <w:r w:rsidRPr="00207857">
              <w:rPr>
                <w:b/>
              </w:rPr>
              <w:t>13671,630</w:t>
            </w:r>
          </w:p>
        </w:tc>
        <w:tc>
          <w:tcPr>
            <w:tcW w:w="1701" w:type="dxa"/>
            <w:tcBorders>
              <w:top w:val="outset" w:sz="6" w:space="0" w:color="auto"/>
              <w:left w:val="outset" w:sz="6" w:space="0" w:color="auto"/>
              <w:bottom w:val="outset" w:sz="6" w:space="0" w:color="auto"/>
              <w:right w:val="outset" w:sz="6" w:space="0" w:color="auto"/>
            </w:tcBorders>
            <w:hideMark/>
          </w:tcPr>
          <w:p w14:paraId="285AFD26" w14:textId="77777777" w:rsidR="00616628" w:rsidRPr="00207857" w:rsidRDefault="00207857" w:rsidP="00616628">
            <w:pPr>
              <w:spacing w:before="100" w:beforeAutospacing="1" w:after="100" w:afterAutospacing="1"/>
              <w:jc w:val="center"/>
              <w:rPr>
                <w:b/>
              </w:rPr>
            </w:pPr>
            <w:r w:rsidRPr="00207857">
              <w:rPr>
                <w:b/>
              </w:rPr>
              <w:t>15416,752</w:t>
            </w:r>
          </w:p>
        </w:tc>
        <w:tc>
          <w:tcPr>
            <w:tcW w:w="1842" w:type="dxa"/>
            <w:tcBorders>
              <w:top w:val="outset" w:sz="6" w:space="0" w:color="auto"/>
              <w:left w:val="outset" w:sz="6" w:space="0" w:color="auto"/>
              <w:bottom w:val="outset" w:sz="6" w:space="0" w:color="auto"/>
              <w:right w:val="outset" w:sz="6" w:space="0" w:color="auto"/>
            </w:tcBorders>
            <w:hideMark/>
          </w:tcPr>
          <w:p w14:paraId="45AE6C07" w14:textId="77777777" w:rsidR="00616628" w:rsidRPr="00F04F72" w:rsidRDefault="00207857" w:rsidP="00616628">
            <w:pPr>
              <w:spacing w:before="100" w:beforeAutospacing="1" w:after="100" w:afterAutospacing="1"/>
              <w:jc w:val="center"/>
              <w:rPr>
                <w:b/>
              </w:rPr>
            </w:pPr>
            <w:r w:rsidRPr="00F04F72">
              <w:rPr>
                <w:b/>
              </w:rPr>
              <w:t>+1745,122</w:t>
            </w:r>
          </w:p>
        </w:tc>
      </w:tr>
      <w:tr w:rsidR="00616628" w:rsidRPr="00A57235" w14:paraId="56AB66DF" w14:textId="77777777" w:rsidTr="00616628">
        <w:trPr>
          <w:trHeight w:val="209"/>
          <w:tblCellSpacing w:w="0" w:type="dxa"/>
        </w:trPr>
        <w:tc>
          <w:tcPr>
            <w:tcW w:w="4410" w:type="dxa"/>
            <w:tcBorders>
              <w:top w:val="outset" w:sz="6" w:space="0" w:color="auto"/>
              <w:left w:val="outset" w:sz="6" w:space="0" w:color="auto"/>
              <w:bottom w:val="outset" w:sz="6" w:space="0" w:color="auto"/>
              <w:right w:val="outset" w:sz="6" w:space="0" w:color="auto"/>
            </w:tcBorders>
            <w:hideMark/>
          </w:tcPr>
          <w:p w14:paraId="11D7DA4C" w14:textId="77777777" w:rsidR="00616628" w:rsidRPr="00207857" w:rsidRDefault="00616628" w:rsidP="00616628">
            <w:pPr>
              <w:spacing w:before="100" w:beforeAutospacing="1" w:after="100" w:afterAutospacing="1"/>
            </w:pPr>
            <w:r w:rsidRPr="00207857">
              <w:t>Iš jų pagal finansavimo šaltinius:</w:t>
            </w:r>
          </w:p>
        </w:tc>
        <w:tc>
          <w:tcPr>
            <w:tcW w:w="1701" w:type="dxa"/>
            <w:tcBorders>
              <w:top w:val="outset" w:sz="6" w:space="0" w:color="auto"/>
              <w:left w:val="outset" w:sz="6" w:space="0" w:color="auto"/>
              <w:bottom w:val="outset" w:sz="6" w:space="0" w:color="auto"/>
              <w:right w:val="outset" w:sz="6" w:space="0" w:color="auto"/>
            </w:tcBorders>
          </w:tcPr>
          <w:p w14:paraId="20DE5FF1" w14:textId="77777777" w:rsidR="00616628" w:rsidRPr="00207857" w:rsidRDefault="00616628" w:rsidP="00616628">
            <w:pPr>
              <w:spacing w:before="100" w:beforeAutospacing="1" w:after="100" w:afterAutospacing="1"/>
              <w:jc w:val="center"/>
            </w:pPr>
          </w:p>
        </w:tc>
        <w:tc>
          <w:tcPr>
            <w:tcW w:w="1701" w:type="dxa"/>
            <w:tcBorders>
              <w:top w:val="outset" w:sz="6" w:space="0" w:color="auto"/>
              <w:left w:val="outset" w:sz="6" w:space="0" w:color="auto"/>
              <w:bottom w:val="outset" w:sz="6" w:space="0" w:color="auto"/>
              <w:right w:val="outset" w:sz="6" w:space="0" w:color="auto"/>
            </w:tcBorders>
          </w:tcPr>
          <w:p w14:paraId="0E135B39" w14:textId="77777777" w:rsidR="00616628" w:rsidRPr="00207857" w:rsidRDefault="00616628" w:rsidP="00616628">
            <w:pPr>
              <w:spacing w:before="100" w:beforeAutospacing="1" w:after="100" w:afterAutospacing="1"/>
              <w:jc w:val="center"/>
            </w:pPr>
          </w:p>
        </w:tc>
        <w:tc>
          <w:tcPr>
            <w:tcW w:w="1842" w:type="dxa"/>
            <w:tcBorders>
              <w:top w:val="outset" w:sz="6" w:space="0" w:color="auto"/>
              <w:left w:val="outset" w:sz="6" w:space="0" w:color="auto"/>
              <w:bottom w:val="outset" w:sz="6" w:space="0" w:color="auto"/>
              <w:right w:val="outset" w:sz="6" w:space="0" w:color="auto"/>
            </w:tcBorders>
            <w:hideMark/>
          </w:tcPr>
          <w:p w14:paraId="179F55CD" w14:textId="77777777" w:rsidR="00616628" w:rsidRPr="00F04F72" w:rsidRDefault="00616628" w:rsidP="00616628">
            <w:pPr>
              <w:spacing w:before="100" w:beforeAutospacing="1" w:after="100" w:afterAutospacing="1"/>
              <w:jc w:val="center"/>
            </w:pPr>
          </w:p>
        </w:tc>
      </w:tr>
      <w:tr w:rsidR="00207857" w:rsidRPr="00A57235" w14:paraId="40D51399" w14:textId="77777777" w:rsidTr="00616628">
        <w:trPr>
          <w:tblCellSpacing w:w="0" w:type="dxa"/>
        </w:trPr>
        <w:tc>
          <w:tcPr>
            <w:tcW w:w="4410" w:type="dxa"/>
            <w:tcBorders>
              <w:top w:val="outset" w:sz="6" w:space="0" w:color="auto"/>
              <w:left w:val="outset" w:sz="6" w:space="0" w:color="auto"/>
              <w:bottom w:val="outset" w:sz="6" w:space="0" w:color="auto"/>
              <w:right w:val="outset" w:sz="6" w:space="0" w:color="auto"/>
            </w:tcBorders>
          </w:tcPr>
          <w:p w14:paraId="08966B35" w14:textId="77777777" w:rsidR="00207857" w:rsidRPr="00207857" w:rsidRDefault="00207857" w:rsidP="00616628">
            <w:pPr>
              <w:spacing w:before="100" w:beforeAutospacing="1" w:after="100" w:afterAutospacing="1"/>
            </w:pPr>
            <w:r w:rsidRPr="00207857">
              <w:t>Savivaldybės biudžeto lėšos</w:t>
            </w:r>
          </w:p>
        </w:tc>
        <w:tc>
          <w:tcPr>
            <w:tcW w:w="1701" w:type="dxa"/>
            <w:tcBorders>
              <w:top w:val="outset" w:sz="6" w:space="0" w:color="auto"/>
              <w:left w:val="outset" w:sz="6" w:space="0" w:color="auto"/>
              <w:bottom w:val="outset" w:sz="6" w:space="0" w:color="auto"/>
              <w:right w:val="outset" w:sz="6" w:space="0" w:color="auto"/>
            </w:tcBorders>
          </w:tcPr>
          <w:p w14:paraId="0D9B7CD7" w14:textId="77777777" w:rsidR="00207857" w:rsidRPr="00207857" w:rsidRDefault="00207857" w:rsidP="00616628">
            <w:pPr>
              <w:spacing w:before="100" w:beforeAutospacing="1" w:after="100" w:afterAutospacing="1"/>
              <w:jc w:val="center"/>
            </w:pPr>
            <w:r w:rsidRPr="00207857">
              <w:t>8523,319</w:t>
            </w:r>
          </w:p>
        </w:tc>
        <w:tc>
          <w:tcPr>
            <w:tcW w:w="1701" w:type="dxa"/>
            <w:tcBorders>
              <w:top w:val="outset" w:sz="6" w:space="0" w:color="auto"/>
              <w:left w:val="outset" w:sz="6" w:space="0" w:color="auto"/>
              <w:bottom w:val="outset" w:sz="6" w:space="0" w:color="auto"/>
              <w:right w:val="outset" w:sz="6" w:space="0" w:color="auto"/>
            </w:tcBorders>
          </w:tcPr>
          <w:p w14:paraId="2110FA81" w14:textId="77777777" w:rsidR="00207857" w:rsidRPr="00207857" w:rsidRDefault="00207857" w:rsidP="00616628">
            <w:pPr>
              <w:spacing w:before="100" w:beforeAutospacing="1" w:after="100" w:afterAutospacing="1"/>
              <w:jc w:val="center"/>
            </w:pPr>
            <w:r w:rsidRPr="00207857">
              <w:t>9340,929</w:t>
            </w:r>
          </w:p>
        </w:tc>
        <w:tc>
          <w:tcPr>
            <w:tcW w:w="1842" w:type="dxa"/>
            <w:tcBorders>
              <w:top w:val="outset" w:sz="6" w:space="0" w:color="auto"/>
              <w:left w:val="outset" w:sz="6" w:space="0" w:color="auto"/>
              <w:bottom w:val="outset" w:sz="6" w:space="0" w:color="auto"/>
              <w:right w:val="outset" w:sz="6" w:space="0" w:color="auto"/>
            </w:tcBorders>
          </w:tcPr>
          <w:p w14:paraId="2366FBC2" w14:textId="77777777" w:rsidR="00207857" w:rsidRPr="00F04F72" w:rsidRDefault="00207857" w:rsidP="00616628">
            <w:pPr>
              <w:spacing w:before="100" w:beforeAutospacing="1" w:after="100" w:afterAutospacing="1"/>
              <w:jc w:val="center"/>
            </w:pPr>
            <w:r w:rsidRPr="00F04F72">
              <w:t>+817,610</w:t>
            </w:r>
          </w:p>
        </w:tc>
      </w:tr>
      <w:tr w:rsidR="00616628" w:rsidRPr="00A57235" w14:paraId="639ECFA1" w14:textId="77777777" w:rsidTr="00616628">
        <w:trPr>
          <w:tblCellSpacing w:w="0" w:type="dxa"/>
        </w:trPr>
        <w:tc>
          <w:tcPr>
            <w:tcW w:w="4410" w:type="dxa"/>
            <w:tcBorders>
              <w:top w:val="outset" w:sz="6" w:space="0" w:color="auto"/>
              <w:left w:val="outset" w:sz="6" w:space="0" w:color="auto"/>
              <w:bottom w:val="outset" w:sz="6" w:space="0" w:color="auto"/>
              <w:right w:val="outset" w:sz="6" w:space="0" w:color="auto"/>
            </w:tcBorders>
            <w:hideMark/>
          </w:tcPr>
          <w:p w14:paraId="495DB16B" w14:textId="77777777" w:rsidR="00616628" w:rsidRPr="00207857" w:rsidRDefault="00616628" w:rsidP="00616628">
            <w:pPr>
              <w:spacing w:before="100" w:beforeAutospacing="1" w:after="100" w:afterAutospacing="1"/>
            </w:pPr>
            <w:r w:rsidRPr="00207857">
              <w:t>Biudžetinių įstaigų pajamos už paslaugas</w:t>
            </w:r>
          </w:p>
        </w:tc>
        <w:tc>
          <w:tcPr>
            <w:tcW w:w="1701" w:type="dxa"/>
            <w:tcBorders>
              <w:top w:val="outset" w:sz="6" w:space="0" w:color="auto"/>
              <w:left w:val="outset" w:sz="6" w:space="0" w:color="auto"/>
              <w:bottom w:val="outset" w:sz="6" w:space="0" w:color="auto"/>
              <w:right w:val="outset" w:sz="6" w:space="0" w:color="auto"/>
            </w:tcBorders>
          </w:tcPr>
          <w:p w14:paraId="2A6C31BC" w14:textId="77777777" w:rsidR="00616628" w:rsidRPr="00207857" w:rsidRDefault="00207857" w:rsidP="00616628">
            <w:pPr>
              <w:spacing w:before="100" w:beforeAutospacing="1" w:after="100" w:afterAutospacing="1"/>
              <w:jc w:val="center"/>
            </w:pPr>
            <w:r w:rsidRPr="00207857">
              <w:t>220,380</w:t>
            </w:r>
          </w:p>
        </w:tc>
        <w:tc>
          <w:tcPr>
            <w:tcW w:w="1701" w:type="dxa"/>
            <w:tcBorders>
              <w:top w:val="outset" w:sz="6" w:space="0" w:color="auto"/>
              <w:left w:val="outset" w:sz="6" w:space="0" w:color="auto"/>
              <w:bottom w:val="outset" w:sz="6" w:space="0" w:color="auto"/>
              <w:right w:val="outset" w:sz="6" w:space="0" w:color="auto"/>
            </w:tcBorders>
          </w:tcPr>
          <w:p w14:paraId="13BCC74D" w14:textId="77777777" w:rsidR="00616628" w:rsidRPr="00207857" w:rsidRDefault="00207857" w:rsidP="00616628">
            <w:pPr>
              <w:spacing w:before="100" w:beforeAutospacing="1" w:after="100" w:afterAutospacing="1"/>
              <w:jc w:val="center"/>
            </w:pPr>
            <w:r w:rsidRPr="00207857">
              <w:t>303,187</w:t>
            </w:r>
          </w:p>
        </w:tc>
        <w:tc>
          <w:tcPr>
            <w:tcW w:w="1842" w:type="dxa"/>
            <w:tcBorders>
              <w:top w:val="outset" w:sz="6" w:space="0" w:color="auto"/>
              <w:left w:val="outset" w:sz="6" w:space="0" w:color="auto"/>
              <w:bottom w:val="outset" w:sz="6" w:space="0" w:color="auto"/>
              <w:right w:val="outset" w:sz="6" w:space="0" w:color="auto"/>
            </w:tcBorders>
            <w:hideMark/>
          </w:tcPr>
          <w:p w14:paraId="4C368BD2" w14:textId="77777777" w:rsidR="00616628" w:rsidRPr="00F04F72" w:rsidRDefault="00207857" w:rsidP="00616628">
            <w:pPr>
              <w:spacing w:before="100" w:beforeAutospacing="1" w:after="100" w:afterAutospacing="1"/>
              <w:jc w:val="center"/>
            </w:pPr>
            <w:r w:rsidRPr="00F04F72">
              <w:t>+82,807</w:t>
            </w:r>
          </w:p>
        </w:tc>
      </w:tr>
      <w:tr w:rsidR="00616628" w:rsidRPr="00A57235" w14:paraId="1668926E" w14:textId="77777777" w:rsidTr="00616628">
        <w:trPr>
          <w:tblCellSpacing w:w="0" w:type="dxa"/>
        </w:trPr>
        <w:tc>
          <w:tcPr>
            <w:tcW w:w="4410" w:type="dxa"/>
            <w:tcBorders>
              <w:top w:val="outset" w:sz="6" w:space="0" w:color="auto"/>
              <w:left w:val="outset" w:sz="6" w:space="0" w:color="auto"/>
              <w:bottom w:val="outset" w:sz="6" w:space="0" w:color="auto"/>
              <w:right w:val="outset" w:sz="6" w:space="0" w:color="auto"/>
            </w:tcBorders>
            <w:hideMark/>
          </w:tcPr>
          <w:p w14:paraId="5E90333F" w14:textId="77777777" w:rsidR="00616628" w:rsidRPr="00207857" w:rsidRDefault="00616628" w:rsidP="00616628">
            <w:pPr>
              <w:spacing w:before="100" w:beforeAutospacing="1" w:after="100" w:afterAutospacing="1"/>
            </w:pPr>
            <w:r w:rsidRPr="00207857">
              <w:lastRenderedPageBreak/>
              <w:t xml:space="preserve">Lėšos ugdymo reikmėms finansuoti </w:t>
            </w:r>
          </w:p>
        </w:tc>
        <w:tc>
          <w:tcPr>
            <w:tcW w:w="1701" w:type="dxa"/>
            <w:tcBorders>
              <w:top w:val="outset" w:sz="6" w:space="0" w:color="auto"/>
              <w:left w:val="outset" w:sz="6" w:space="0" w:color="auto"/>
              <w:bottom w:val="outset" w:sz="6" w:space="0" w:color="auto"/>
              <w:right w:val="outset" w:sz="6" w:space="0" w:color="auto"/>
            </w:tcBorders>
          </w:tcPr>
          <w:p w14:paraId="5D0AD6F8" w14:textId="77777777" w:rsidR="00616628" w:rsidRPr="00207857" w:rsidRDefault="00207857" w:rsidP="00616628">
            <w:pPr>
              <w:spacing w:before="100" w:beforeAutospacing="1" w:after="100" w:afterAutospacing="1"/>
              <w:jc w:val="center"/>
            </w:pPr>
            <w:r w:rsidRPr="00207857">
              <w:t>4156,940</w:t>
            </w:r>
          </w:p>
        </w:tc>
        <w:tc>
          <w:tcPr>
            <w:tcW w:w="1701" w:type="dxa"/>
            <w:tcBorders>
              <w:top w:val="outset" w:sz="6" w:space="0" w:color="auto"/>
              <w:left w:val="outset" w:sz="6" w:space="0" w:color="auto"/>
              <w:bottom w:val="outset" w:sz="6" w:space="0" w:color="auto"/>
              <w:right w:val="outset" w:sz="6" w:space="0" w:color="auto"/>
            </w:tcBorders>
          </w:tcPr>
          <w:p w14:paraId="03E5D531" w14:textId="77777777" w:rsidR="00616628" w:rsidRPr="00207857" w:rsidRDefault="00207857" w:rsidP="00616628">
            <w:pPr>
              <w:spacing w:before="100" w:beforeAutospacing="1" w:after="100" w:afterAutospacing="1"/>
              <w:jc w:val="center"/>
            </w:pPr>
            <w:r w:rsidRPr="00207857">
              <w:t>4825,420</w:t>
            </w:r>
          </w:p>
        </w:tc>
        <w:tc>
          <w:tcPr>
            <w:tcW w:w="1842" w:type="dxa"/>
            <w:tcBorders>
              <w:top w:val="outset" w:sz="6" w:space="0" w:color="auto"/>
              <w:left w:val="outset" w:sz="6" w:space="0" w:color="auto"/>
              <w:bottom w:val="outset" w:sz="6" w:space="0" w:color="auto"/>
              <w:right w:val="outset" w:sz="6" w:space="0" w:color="auto"/>
            </w:tcBorders>
            <w:hideMark/>
          </w:tcPr>
          <w:p w14:paraId="23307E43" w14:textId="77777777" w:rsidR="00616628" w:rsidRPr="00F04F72" w:rsidRDefault="00207857" w:rsidP="00616628">
            <w:pPr>
              <w:spacing w:before="100" w:beforeAutospacing="1" w:after="100" w:afterAutospacing="1"/>
              <w:jc w:val="center"/>
            </w:pPr>
            <w:r w:rsidRPr="00F04F72">
              <w:t>+668,480</w:t>
            </w:r>
          </w:p>
        </w:tc>
      </w:tr>
      <w:tr w:rsidR="00616628" w:rsidRPr="00A57235" w14:paraId="2BDE7040" w14:textId="77777777" w:rsidTr="00616628">
        <w:trPr>
          <w:tblCellSpacing w:w="0" w:type="dxa"/>
        </w:trPr>
        <w:tc>
          <w:tcPr>
            <w:tcW w:w="4410" w:type="dxa"/>
            <w:tcBorders>
              <w:top w:val="outset" w:sz="6" w:space="0" w:color="auto"/>
              <w:left w:val="outset" w:sz="6" w:space="0" w:color="auto"/>
              <w:bottom w:val="outset" w:sz="6" w:space="0" w:color="auto"/>
              <w:right w:val="outset" w:sz="6" w:space="0" w:color="auto"/>
            </w:tcBorders>
            <w:hideMark/>
          </w:tcPr>
          <w:p w14:paraId="44C64161" w14:textId="77777777" w:rsidR="00616628" w:rsidRPr="00207857" w:rsidRDefault="00F136B9" w:rsidP="00616628">
            <w:pPr>
              <w:spacing w:before="100" w:beforeAutospacing="1" w:after="100" w:afterAutospacing="1"/>
            </w:pPr>
            <w:r w:rsidRPr="00207857">
              <w:t>Dotacija savivaldybės valstybinėms (valstybės perduotoms savivaldybėms) funkcijoms vykdyti</w:t>
            </w:r>
          </w:p>
        </w:tc>
        <w:tc>
          <w:tcPr>
            <w:tcW w:w="1701" w:type="dxa"/>
            <w:tcBorders>
              <w:top w:val="outset" w:sz="6" w:space="0" w:color="auto"/>
              <w:left w:val="outset" w:sz="6" w:space="0" w:color="auto"/>
              <w:bottom w:val="outset" w:sz="6" w:space="0" w:color="auto"/>
              <w:right w:val="outset" w:sz="6" w:space="0" w:color="auto"/>
            </w:tcBorders>
          </w:tcPr>
          <w:p w14:paraId="04C701A8" w14:textId="77777777" w:rsidR="00616628" w:rsidRPr="00207857" w:rsidRDefault="00F136B9" w:rsidP="00616628">
            <w:pPr>
              <w:spacing w:before="100" w:beforeAutospacing="1" w:after="100" w:afterAutospacing="1"/>
              <w:jc w:val="center"/>
            </w:pPr>
            <w:r w:rsidRPr="00207857">
              <w:t>613,386</w:t>
            </w:r>
          </w:p>
        </w:tc>
        <w:tc>
          <w:tcPr>
            <w:tcW w:w="1701" w:type="dxa"/>
            <w:tcBorders>
              <w:top w:val="outset" w:sz="6" w:space="0" w:color="auto"/>
              <w:left w:val="outset" w:sz="6" w:space="0" w:color="auto"/>
              <w:bottom w:val="outset" w:sz="6" w:space="0" w:color="auto"/>
              <w:right w:val="outset" w:sz="6" w:space="0" w:color="auto"/>
            </w:tcBorders>
          </w:tcPr>
          <w:p w14:paraId="61972E38" w14:textId="77777777" w:rsidR="00616628" w:rsidRPr="00207857" w:rsidRDefault="00616628" w:rsidP="00616628">
            <w:pPr>
              <w:spacing w:before="100" w:beforeAutospacing="1" w:after="100" w:afterAutospacing="1"/>
              <w:jc w:val="center"/>
            </w:pPr>
            <w:r w:rsidRPr="00207857">
              <w:t>838,774</w:t>
            </w:r>
          </w:p>
        </w:tc>
        <w:tc>
          <w:tcPr>
            <w:tcW w:w="1842" w:type="dxa"/>
            <w:tcBorders>
              <w:top w:val="outset" w:sz="6" w:space="0" w:color="auto"/>
              <w:left w:val="outset" w:sz="6" w:space="0" w:color="auto"/>
              <w:bottom w:val="outset" w:sz="6" w:space="0" w:color="auto"/>
              <w:right w:val="outset" w:sz="6" w:space="0" w:color="auto"/>
            </w:tcBorders>
            <w:hideMark/>
          </w:tcPr>
          <w:p w14:paraId="7FD51047" w14:textId="77777777" w:rsidR="00616628" w:rsidRPr="00F04F72" w:rsidRDefault="00F136B9" w:rsidP="00616628">
            <w:pPr>
              <w:spacing w:before="100" w:beforeAutospacing="1" w:after="100" w:afterAutospacing="1"/>
              <w:jc w:val="center"/>
            </w:pPr>
            <w:r w:rsidRPr="00F04F72">
              <w:t>+225,388</w:t>
            </w:r>
          </w:p>
        </w:tc>
      </w:tr>
      <w:tr w:rsidR="00616628" w:rsidRPr="00A57235" w14:paraId="507941FF" w14:textId="77777777" w:rsidTr="00616628">
        <w:trPr>
          <w:tblCellSpacing w:w="0" w:type="dxa"/>
        </w:trPr>
        <w:tc>
          <w:tcPr>
            <w:tcW w:w="4410" w:type="dxa"/>
            <w:tcBorders>
              <w:top w:val="outset" w:sz="6" w:space="0" w:color="auto"/>
              <w:left w:val="outset" w:sz="6" w:space="0" w:color="auto"/>
              <w:bottom w:val="outset" w:sz="6" w:space="0" w:color="auto"/>
              <w:right w:val="outset" w:sz="6" w:space="0" w:color="auto"/>
            </w:tcBorders>
          </w:tcPr>
          <w:p w14:paraId="0F8515DA" w14:textId="77777777" w:rsidR="00616628" w:rsidRPr="00207857" w:rsidRDefault="00616628" w:rsidP="00616628">
            <w:pPr>
              <w:spacing w:before="100" w:beforeAutospacing="1" w:after="100" w:afterAutospacing="1"/>
            </w:pPr>
            <w:r w:rsidRPr="00207857">
              <w:t>Specialios tikslinės dotacijos, kitos dotacijos ir lėšos iš kitų valdymo lygių</w:t>
            </w:r>
          </w:p>
        </w:tc>
        <w:tc>
          <w:tcPr>
            <w:tcW w:w="1701" w:type="dxa"/>
            <w:tcBorders>
              <w:top w:val="outset" w:sz="6" w:space="0" w:color="auto"/>
              <w:left w:val="outset" w:sz="6" w:space="0" w:color="auto"/>
              <w:bottom w:val="outset" w:sz="6" w:space="0" w:color="auto"/>
              <w:right w:val="outset" w:sz="6" w:space="0" w:color="auto"/>
            </w:tcBorders>
          </w:tcPr>
          <w:p w14:paraId="7FA4146C" w14:textId="77777777" w:rsidR="00616628" w:rsidRPr="00207857" w:rsidRDefault="00F136B9" w:rsidP="00616628">
            <w:pPr>
              <w:spacing w:before="100" w:beforeAutospacing="1" w:after="100" w:afterAutospacing="1"/>
              <w:jc w:val="center"/>
            </w:pPr>
            <w:r w:rsidRPr="00207857">
              <w:t>50,980</w:t>
            </w:r>
          </w:p>
        </w:tc>
        <w:tc>
          <w:tcPr>
            <w:tcW w:w="1701" w:type="dxa"/>
            <w:tcBorders>
              <w:top w:val="outset" w:sz="6" w:space="0" w:color="auto"/>
              <w:left w:val="outset" w:sz="6" w:space="0" w:color="auto"/>
              <w:bottom w:val="outset" w:sz="6" w:space="0" w:color="auto"/>
              <w:right w:val="outset" w:sz="6" w:space="0" w:color="auto"/>
            </w:tcBorders>
          </w:tcPr>
          <w:p w14:paraId="54B07755" w14:textId="77777777" w:rsidR="00616628" w:rsidRPr="00207857" w:rsidRDefault="00207857" w:rsidP="00616628">
            <w:pPr>
              <w:spacing w:before="100" w:beforeAutospacing="1" w:after="100" w:afterAutospacing="1"/>
              <w:jc w:val="center"/>
            </w:pPr>
            <w:r w:rsidRPr="00207857">
              <w:t>70,575</w:t>
            </w:r>
          </w:p>
        </w:tc>
        <w:tc>
          <w:tcPr>
            <w:tcW w:w="1842" w:type="dxa"/>
            <w:tcBorders>
              <w:top w:val="outset" w:sz="6" w:space="0" w:color="auto"/>
              <w:left w:val="outset" w:sz="6" w:space="0" w:color="auto"/>
              <w:bottom w:val="outset" w:sz="6" w:space="0" w:color="auto"/>
              <w:right w:val="outset" w:sz="6" w:space="0" w:color="auto"/>
            </w:tcBorders>
          </w:tcPr>
          <w:p w14:paraId="10DEDAB6" w14:textId="77777777" w:rsidR="00616628" w:rsidRPr="00F04F72" w:rsidRDefault="00F04F72" w:rsidP="00616628">
            <w:pPr>
              <w:spacing w:before="100" w:beforeAutospacing="1" w:after="100" w:afterAutospacing="1"/>
              <w:jc w:val="center"/>
            </w:pPr>
            <w:r w:rsidRPr="00F04F72">
              <w:t>+19,595</w:t>
            </w:r>
          </w:p>
        </w:tc>
      </w:tr>
    </w:tbl>
    <w:p w14:paraId="56E5B139" w14:textId="77777777" w:rsidR="00857304" w:rsidRPr="00A57235" w:rsidRDefault="00857304" w:rsidP="006708A0">
      <w:pPr>
        <w:ind w:firstLine="1418"/>
        <w:jc w:val="both"/>
        <w:rPr>
          <w:highlight w:val="yellow"/>
        </w:rPr>
      </w:pPr>
    </w:p>
    <w:p w14:paraId="44CCAC87" w14:textId="77777777" w:rsidR="000B06D2" w:rsidRPr="00A57235" w:rsidRDefault="00585BC6" w:rsidP="00EC15B4">
      <w:pPr>
        <w:ind w:firstLine="1418"/>
        <w:jc w:val="both"/>
        <w:rPr>
          <w:b/>
          <w:color w:val="2F5496"/>
          <w:highlight w:val="yellow"/>
        </w:rPr>
      </w:pPr>
      <w:r w:rsidRPr="00616628">
        <w:t>Visagino savivaldybės 20</w:t>
      </w:r>
      <w:r w:rsidR="00616628" w:rsidRPr="00616628">
        <w:t>20</w:t>
      </w:r>
      <w:r w:rsidRPr="00616628">
        <w:t xml:space="preserve"> metų biudžeto projekto asignavimai paskirstyti </w:t>
      </w:r>
      <w:r w:rsidRPr="00616628">
        <w:br/>
        <w:t>10 program</w:t>
      </w:r>
      <w:r w:rsidR="009B51B5" w:rsidRPr="00616628">
        <w:t>ų</w:t>
      </w:r>
      <w:r w:rsidRPr="00616628">
        <w:t xml:space="preserve"> vykdyti. Pateiktoje diagramoje – asignavimų pokytis 201</w:t>
      </w:r>
      <w:r w:rsidR="00616628" w:rsidRPr="00616628">
        <w:t>9</w:t>
      </w:r>
      <w:r w:rsidRPr="00616628">
        <w:t>–20</w:t>
      </w:r>
      <w:r w:rsidR="00616628" w:rsidRPr="00616628">
        <w:t>20</w:t>
      </w:r>
      <w:r w:rsidRPr="00616628">
        <w:t xml:space="preserve"> metais.</w:t>
      </w:r>
    </w:p>
    <w:p w14:paraId="7B038231" w14:textId="77777777" w:rsidR="000B06D2" w:rsidRPr="00A57235" w:rsidRDefault="000B06D2" w:rsidP="000D7C2E">
      <w:pPr>
        <w:ind w:firstLine="851"/>
        <w:jc w:val="center"/>
        <w:rPr>
          <w:b/>
          <w:color w:val="2F5496"/>
          <w:highlight w:val="yellow"/>
        </w:rPr>
      </w:pPr>
    </w:p>
    <w:p w14:paraId="50A6991F" w14:textId="77777777" w:rsidR="000D7C2E" w:rsidRPr="00D24250" w:rsidRDefault="000D7C2E" w:rsidP="000D7C2E">
      <w:pPr>
        <w:ind w:firstLine="851"/>
        <w:jc w:val="center"/>
        <w:rPr>
          <w:b/>
          <w:color w:val="2F5496"/>
        </w:rPr>
      </w:pPr>
      <w:r w:rsidRPr="00D24250">
        <w:rPr>
          <w:b/>
          <w:color w:val="2F5496"/>
        </w:rPr>
        <w:t>20</w:t>
      </w:r>
      <w:r w:rsidR="00897B56" w:rsidRPr="00D24250">
        <w:rPr>
          <w:b/>
          <w:color w:val="2F5496"/>
        </w:rPr>
        <w:t>19</w:t>
      </w:r>
      <w:r w:rsidR="001C0C52" w:rsidRPr="00D24250">
        <w:rPr>
          <w:b/>
          <w:color w:val="2F5496"/>
        </w:rPr>
        <w:t>–</w:t>
      </w:r>
      <w:r w:rsidR="003C79C3" w:rsidRPr="00D24250">
        <w:rPr>
          <w:b/>
          <w:color w:val="2F5496"/>
        </w:rPr>
        <w:t>20</w:t>
      </w:r>
      <w:r w:rsidR="00897B56" w:rsidRPr="00D24250">
        <w:rPr>
          <w:b/>
          <w:color w:val="2F5496"/>
        </w:rPr>
        <w:t>20</w:t>
      </w:r>
      <w:r w:rsidRPr="00D24250">
        <w:rPr>
          <w:b/>
          <w:color w:val="2F5496"/>
        </w:rPr>
        <w:t xml:space="preserve"> metų biudžeto asignavimai pagal programas</w:t>
      </w:r>
      <w:r w:rsidR="00585BC6" w:rsidRPr="00D24250">
        <w:rPr>
          <w:b/>
          <w:color w:val="2F5496"/>
        </w:rPr>
        <w:t xml:space="preserve"> (tūkst. </w:t>
      </w:r>
      <w:r w:rsidR="003A3515">
        <w:rPr>
          <w:b/>
          <w:color w:val="2F5496"/>
        </w:rPr>
        <w:t>E</w:t>
      </w:r>
      <w:r w:rsidR="00585BC6" w:rsidRPr="00D24250">
        <w:rPr>
          <w:b/>
          <w:color w:val="2F5496"/>
        </w:rPr>
        <w:t>ur)</w:t>
      </w:r>
    </w:p>
    <w:p w14:paraId="224D15E7" w14:textId="77777777" w:rsidR="00B45009" w:rsidRPr="00D24250" w:rsidRDefault="00B45009" w:rsidP="000D7C2E">
      <w:pPr>
        <w:ind w:firstLine="851"/>
        <w:jc w:val="center"/>
        <w:rPr>
          <w:b/>
          <w:color w:val="2F5496"/>
        </w:rPr>
      </w:pPr>
    </w:p>
    <w:p w14:paraId="024DF804" w14:textId="2A625BA4" w:rsidR="00B45009" w:rsidRDefault="00E51BAF" w:rsidP="00B45009">
      <w:pPr>
        <w:rPr>
          <w:b/>
          <w:color w:val="2F5496"/>
          <w:highlight w:val="yellow"/>
        </w:rPr>
      </w:pPr>
      <w:r w:rsidRPr="005F6E1E">
        <w:rPr>
          <w:noProof/>
        </w:rPr>
        <w:drawing>
          <wp:inline distT="0" distB="0" distL="0" distR="0" wp14:anchorId="105360F1" wp14:editId="1A890E3B">
            <wp:extent cx="6284595" cy="3002280"/>
            <wp:effectExtent l="0" t="0" r="1905" b="762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5710" cy="3007590"/>
                    </a:xfrm>
                    <a:prstGeom prst="rect">
                      <a:avLst/>
                    </a:prstGeom>
                    <a:noFill/>
                    <a:ln>
                      <a:noFill/>
                    </a:ln>
                  </pic:spPr>
                </pic:pic>
              </a:graphicData>
            </a:graphic>
          </wp:inline>
        </w:drawing>
      </w:r>
    </w:p>
    <w:p w14:paraId="74952BE4" w14:textId="77777777" w:rsidR="00FC7640" w:rsidRDefault="00FC7640" w:rsidP="00B45009">
      <w:pPr>
        <w:rPr>
          <w:b/>
          <w:color w:val="2F5496"/>
          <w:highlight w:val="yellow"/>
        </w:rPr>
      </w:pPr>
    </w:p>
    <w:p w14:paraId="067E8D45" w14:textId="6B93451C" w:rsidR="00FC7640" w:rsidRPr="00A57235" w:rsidRDefault="00E51BAF" w:rsidP="00B45009">
      <w:pPr>
        <w:rPr>
          <w:b/>
          <w:color w:val="2F5496"/>
          <w:highlight w:val="yellow"/>
        </w:rPr>
      </w:pPr>
      <w:r>
        <w:rPr>
          <w:noProof/>
        </w:rPr>
        <w:lastRenderedPageBreak/>
        <w:drawing>
          <wp:inline distT="0" distB="0" distL="0" distR="0" wp14:anchorId="0BCF3EBB" wp14:editId="2D2D2942">
            <wp:extent cx="6120130" cy="5173345"/>
            <wp:effectExtent l="0" t="0" r="13970" b="8255"/>
            <wp:docPr id="7" name="Diagrama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52FF3F-4142-4B9A-A75E-1F986B9F0D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3074AB" w14:textId="77777777" w:rsidR="000B06D2" w:rsidRPr="00A57235" w:rsidRDefault="000B06D2" w:rsidP="000D7C2E">
      <w:pPr>
        <w:ind w:firstLine="851"/>
        <w:jc w:val="center"/>
        <w:rPr>
          <w:b/>
          <w:color w:val="2F5496"/>
          <w:highlight w:val="yellow"/>
        </w:rPr>
      </w:pPr>
    </w:p>
    <w:p w14:paraId="51F874FA" w14:textId="77777777" w:rsidR="00E85111" w:rsidRPr="004116D3" w:rsidRDefault="00E85111" w:rsidP="00E85111">
      <w:pPr>
        <w:rPr>
          <w:rFonts w:ascii="Calibri Light" w:hAnsi="Calibri Light" w:cs="Calibri Light"/>
          <w:b/>
          <w:bCs/>
          <w:color w:val="44546A"/>
          <w:kern w:val="24"/>
          <w:sz w:val="28"/>
          <w:szCs w:val="28"/>
          <w:highlight w:val="yellow"/>
          <w14:shadow w14:blurRad="50800" w14:dist="38100" w14:dir="2700000" w14:sx="100000" w14:sy="100000" w14:kx="0" w14:ky="0" w14:algn="tl">
            <w14:srgbClr w14:val="000000">
              <w14:alpha w14:val="60000"/>
            </w14:srgbClr>
          </w14:shadow>
        </w:rPr>
      </w:pPr>
    </w:p>
    <w:p w14:paraId="43AC75C6" w14:textId="77777777" w:rsidR="00291236" w:rsidRPr="00B45009" w:rsidRDefault="00585BC6" w:rsidP="009B51B5">
      <w:pPr>
        <w:ind w:firstLine="1418"/>
        <w:jc w:val="both"/>
      </w:pPr>
      <w:r w:rsidRPr="00B45009">
        <w:rPr>
          <w:b/>
        </w:rPr>
        <w:t>Savivaldybės valdymo tobulinimo programai</w:t>
      </w:r>
      <w:r w:rsidRPr="00B45009">
        <w:t xml:space="preserve"> – </w:t>
      </w:r>
      <w:r w:rsidR="00B45009" w:rsidRPr="00B45009">
        <w:t>3186,090</w:t>
      </w:r>
      <w:r w:rsidRPr="00B45009">
        <w:t xml:space="preserve"> tūkst. eurų, iš jų </w:t>
      </w:r>
      <w:r w:rsidR="00B45009" w:rsidRPr="00B45009">
        <w:t>1987,746</w:t>
      </w:r>
      <w:r w:rsidRPr="00B45009">
        <w:t xml:space="preserve"> tūkst. eurų darbo užmokesčiui, </w:t>
      </w:r>
      <w:r w:rsidR="00B45009" w:rsidRPr="00B45009">
        <w:t>71,330</w:t>
      </w:r>
      <w:r w:rsidR="00291236" w:rsidRPr="00B45009">
        <w:t xml:space="preserve"> tūkst. eurų Kontrolės ir audito tarnybai, </w:t>
      </w:r>
      <w:r w:rsidR="00B45009" w:rsidRPr="00B45009">
        <w:t>1,641</w:t>
      </w:r>
      <w:r w:rsidR="006708A0" w:rsidRPr="00B45009">
        <w:t xml:space="preserve"> tūkst. eurų „Verdenės“ gimnazijai įstaigos pajamų lėšos, </w:t>
      </w:r>
      <w:r w:rsidR="00B45009">
        <w:t>3104,819</w:t>
      </w:r>
      <w:r w:rsidR="00291236" w:rsidRPr="00B45009">
        <w:t xml:space="preserve"> tūkst. eurų Savivaldybės administracijai, iš jų: </w:t>
      </w:r>
      <w:r w:rsidR="00B45009">
        <w:t>2791,615</w:t>
      </w:r>
      <w:r w:rsidR="00291236" w:rsidRPr="00B45009">
        <w:t xml:space="preserve"> tūkst. eurų </w:t>
      </w:r>
      <w:r w:rsidR="00B45009" w:rsidRPr="00B45009">
        <w:t xml:space="preserve">savivaldybės </w:t>
      </w:r>
      <w:r w:rsidR="00291236" w:rsidRPr="00B45009">
        <w:t>biudžeto lėšos (</w:t>
      </w:r>
      <w:r w:rsidR="00B45009" w:rsidRPr="00B45009">
        <w:t>302,0</w:t>
      </w:r>
      <w:r w:rsidR="00291236" w:rsidRPr="00B45009">
        <w:t xml:space="preserve"> tūkst.</w:t>
      </w:r>
      <w:r w:rsidR="004A3B8D" w:rsidRPr="00B45009">
        <w:t xml:space="preserve"> </w:t>
      </w:r>
      <w:r w:rsidR="00291236" w:rsidRPr="00B45009">
        <w:t>eur</w:t>
      </w:r>
      <w:r w:rsidR="004A3B8D" w:rsidRPr="00B45009">
        <w:t xml:space="preserve">ų </w:t>
      </w:r>
      <w:r w:rsidR="00291236" w:rsidRPr="00B45009">
        <w:t>tarybos veikl</w:t>
      </w:r>
      <w:r w:rsidR="004A3B8D" w:rsidRPr="00B45009">
        <w:t>a</w:t>
      </w:r>
      <w:r w:rsidR="00291236" w:rsidRPr="00B45009">
        <w:t>i</w:t>
      </w:r>
      <w:r w:rsidR="00515696" w:rsidRPr="00B45009">
        <w:t xml:space="preserve">, </w:t>
      </w:r>
      <w:r w:rsidR="00B45009" w:rsidRPr="00B45009">
        <w:t>130,080 savivaldybės tarybos ir mero sekretoriato veiklai, 15,673</w:t>
      </w:r>
      <w:r w:rsidR="00291236" w:rsidRPr="00B45009">
        <w:t xml:space="preserve"> tūkst. eurų palūkanos už paskolas</w:t>
      </w:r>
      <w:r w:rsidR="004A3B8D" w:rsidRPr="00B45009">
        <w:t>, 35,510 tūkst. eurų</w:t>
      </w:r>
      <w:r w:rsidR="006708A0" w:rsidRPr="00B45009">
        <w:t xml:space="preserve"> valstybės tarnautojams apskaičiuoto grąžintino neišmokėto darbo užmokesčio dalis</w:t>
      </w:r>
      <w:r w:rsidR="00291236" w:rsidRPr="00B45009">
        <w:t xml:space="preserve">), </w:t>
      </w:r>
      <w:r w:rsidR="00E32A57" w:rsidRPr="00B45009">
        <w:t>160,931</w:t>
      </w:r>
      <w:r w:rsidR="00291236" w:rsidRPr="00B45009">
        <w:t xml:space="preserve"> tūkst. eurų valstybės (perduotos savivaldybėms) funkcijoms vykdyti lėšos, </w:t>
      </w:r>
      <w:r w:rsidR="00B45009" w:rsidRPr="00B45009">
        <w:t>130,198</w:t>
      </w:r>
      <w:r w:rsidR="00291236" w:rsidRPr="00B45009">
        <w:t xml:space="preserve"> tūkst. eurų įstaigos pajamų lėšos, </w:t>
      </w:r>
      <w:r w:rsidR="00E77BFD" w:rsidRPr="00B45009">
        <w:t>numatyti asignavimai projektams „WiFi4EU Visagino savivaldybėje</w:t>
      </w:r>
      <w:r w:rsidR="003A3515">
        <w:t>“</w:t>
      </w:r>
      <w:r w:rsidR="00E77BFD" w:rsidRPr="00B45009">
        <w:t>, „Suinteresuotų šalių įtraukimo</w:t>
      </w:r>
      <w:r w:rsidR="00E77BFD" w:rsidRPr="00E77BFD">
        <w:t xml:space="preserve"> į regioninio strateginio planavimo procesus Latgalos ir šiaurės rytų Aukštaitijos regionuose modelio sukūrimas</w:t>
      </w:r>
      <w:r w:rsidR="003A3515">
        <w:t>“</w:t>
      </w:r>
      <w:r w:rsidR="00E77BFD">
        <w:t xml:space="preserve"> </w:t>
      </w:r>
      <w:r w:rsidR="00E77BFD" w:rsidRPr="00E77BFD">
        <w:t>įgyvendin</w:t>
      </w:r>
      <w:r w:rsidR="003A3515">
        <w:t>t</w:t>
      </w:r>
      <w:r w:rsidR="00E77BFD">
        <w:t>i, biudžetinių įstaigų centralizuotai pastatų techninei priežiūrai ir asmen</w:t>
      </w:r>
      <w:r w:rsidR="003A3515">
        <w:t>s</w:t>
      </w:r>
      <w:r w:rsidR="00E77BFD">
        <w:t xml:space="preserve"> duomenų apsaugai pirkimui, nekilnojamojo turto kadastriniams matavimams atlikti ir teisinei registracijai, viešojo aukciono būdų parduodamų objektų priežiūrai, savivaldybės į</w:t>
      </w:r>
      <w:r w:rsidR="000C7170">
        <w:t>s</w:t>
      </w:r>
      <w:r w:rsidR="00E77BFD">
        <w:t>ipareigojimų</w:t>
      </w:r>
      <w:r w:rsidR="000C7170">
        <w:t xml:space="preserve"> vykdymui po projektų įgyvendinimui, gyventojų informavimo veiklai, tarptautinio bendradarbiavimo plėtrai, </w:t>
      </w:r>
      <w:r w:rsidR="00B45009" w:rsidRPr="00B45009">
        <w:t>3,575</w:t>
      </w:r>
      <w:r w:rsidR="00291236" w:rsidRPr="00B45009">
        <w:t xml:space="preserve"> tūkst. eurų ES lėšos</w:t>
      </w:r>
      <w:r w:rsidR="00302D44" w:rsidRPr="00B45009">
        <w:t xml:space="preserve"> ir kitos.</w:t>
      </w:r>
    </w:p>
    <w:p w14:paraId="4A2F0B1D" w14:textId="77777777" w:rsidR="00396027" w:rsidRPr="00A57235" w:rsidRDefault="0058118B" w:rsidP="00E82C00">
      <w:pPr>
        <w:ind w:firstLine="1418"/>
        <w:jc w:val="both"/>
        <w:rPr>
          <w:highlight w:val="yellow"/>
        </w:rPr>
      </w:pPr>
      <w:r w:rsidRPr="00B45009">
        <w:rPr>
          <w:b/>
        </w:rPr>
        <w:t>Švietimo paslaugų plėtros programai</w:t>
      </w:r>
      <w:r w:rsidRPr="00B45009">
        <w:t xml:space="preserve"> </w:t>
      </w:r>
      <w:r w:rsidR="00AC4561" w:rsidRPr="00B45009">
        <w:t>–</w:t>
      </w:r>
      <w:r w:rsidRPr="00B45009">
        <w:t xml:space="preserve"> </w:t>
      </w:r>
      <w:r w:rsidR="00B45009" w:rsidRPr="00B45009">
        <w:t>11078,377</w:t>
      </w:r>
      <w:r w:rsidR="006708A0" w:rsidRPr="00B45009">
        <w:t xml:space="preserve"> tūkst.</w:t>
      </w:r>
      <w:r w:rsidR="00783CE7" w:rsidRPr="00B45009">
        <w:t xml:space="preserve"> eur</w:t>
      </w:r>
      <w:r w:rsidR="006708A0" w:rsidRPr="00B45009">
        <w:t>ų</w:t>
      </w:r>
      <w:r w:rsidR="00A57ED0" w:rsidRPr="00B45009">
        <w:t>,</w:t>
      </w:r>
      <w:r w:rsidR="00783CE7" w:rsidRPr="00B45009">
        <w:t xml:space="preserve"> </w:t>
      </w:r>
      <w:r w:rsidR="00570148" w:rsidRPr="00B45009">
        <w:t xml:space="preserve">iš jų </w:t>
      </w:r>
      <w:r w:rsidR="00B45009" w:rsidRPr="00B45009">
        <w:t>9197,270</w:t>
      </w:r>
      <w:r w:rsidR="006708A0" w:rsidRPr="00B45009">
        <w:t xml:space="preserve"> tūkst. eurų</w:t>
      </w:r>
      <w:r w:rsidR="00570148" w:rsidRPr="00B45009">
        <w:t xml:space="preserve"> </w:t>
      </w:r>
      <w:r w:rsidR="007D0578" w:rsidRPr="00B45009">
        <w:t>darbo užmokesčiui</w:t>
      </w:r>
      <w:r w:rsidR="00B319EF" w:rsidRPr="00B45009">
        <w:t>, švietimo įstaigoms išlaikyti, iš</w:t>
      </w:r>
      <w:r w:rsidR="00B319EF" w:rsidRPr="00557A16">
        <w:t xml:space="preserve"> jų: </w:t>
      </w:r>
      <w:r w:rsidR="00557A16" w:rsidRPr="00557A16">
        <w:t>5010,5</w:t>
      </w:r>
      <w:r w:rsidR="00B319EF" w:rsidRPr="00557A16">
        <w:t xml:space="preserve"> tūkst. eurų </w:t>
      </w:r>
      <w:r w:rsidR="009B51B5" w:rsidRPr="00557A16">
        <w:t xml:space="preserve">lėšos </w:t>
      </w:r>
      <w:r w:rsidR="00B319EF" w:rsidRPr="00557A16">
        <w:t>ugdymo reikmėms</w:t>
      </w:r>
      <w:r w:rsidR="00B319EF" w:rsidRPr="009659C1">
        <w:t xml:space="preserve">. </w:t>
      </w:r>
      <w:r w:rsidR="003A3515">
        <w:t>L</w:t>
      </w:r>
      <w:r w:rsidR="003A3515" w:rsidRPr="009659C1">
        <w:t xml:space="preserve">ėšos </w:t>
      </w:r>
      <w:r w:rsidR="003A3515">
        <w:t>u</w:t>
      </w:r>
      <w:r w:rsidR="00B319EF" w:rsidRPr="009659C1">
        <w:t>gdymo reikmėms 20</w:t>
      </w:r>
      <w:r w:rsidR="00557A16" w:rsidRPr="009659C1">
        <w:t>20</w:t>
      </w:r>
      <w:r w:rsidR="00B319EF" w:rsidRPr="009659C1">
        <w:t xml:space="preserve"> m. padidintos dėl </w:t>
      </w:r>
      <w:r w:rsidR="00A1406B" w:rsidRPr="009659C1">
        <w:t xml:space="preserve">mokytojų, dirbančių pagal ikimokyklinio ir priešmokyklinio ugdymo programas, pareiginės algos pastoviosios dalies koeficientų intervalų naikinimo, paliekant maksimalius koeficientus, švietimo pagalbos specialistų </w:t>
      </w:r>
      <w:r w:rsidR="007748CE" w:rsidRPr="009659C1">
        <w:t xml:space="preserve"> </w:t>
      </w:r>
      <w:r w:rsidR="00A1406B" w:rsidRPr="009659C1">
        <w:t xml:space="preserve">pareiginės algos pastoviosios dalies koeficientų intervalų naikinimo, paliekant maksimalius koeficientus, ugdymo </w:t>
      </w:r>
      <w:r w:rsidR="00A1406B" w:rsidRPr="009659C1">
        <w:lastRenderedPageBreak/>
        <w:t>reikmių švietimo pagalbai mokyklose ir pedagoginę pagalbą teikiančiose įstaigose koeficientus, numatyt</w:t>
      </w:r>
      <w:r w:rsidR="003A3515">
        <w:t>ų</w:t>
      </w:r>
      <w:r w:rsidR="00A1406B" w:rsidRPr="009659C1">
        <w:t xml:space="preserve"> papildomų </w:t>
      </w:r>
      <w:r w:rsidR="009659C1" w:rsidRPr="009659C1">
        <w:t>lėšų</w:t>
      </w:r>
      <w:r w:rsidR="00A1406B" w:rsidRPr="009659C1">
        <w:t xml:space="preserve"> mokyklų bibliotekų</w:t>
      </w:r>
      <w:r w:rsidR="009659C1" w:rsidRPr="009659C1">
        <w:t xml:space="preserve"> darbuotojų darbo užmokesčiui padidinti nuo 2020 m. sausio 1 d. </w:t>
      </w:r>
      <w:r w:rsidR="00A1406B" w:rsidRPr="009659C1">
        <w:t xml:space="preserve"> </w:t>
      </w:r>
      <w:r w:rsidR="007748CE" w:rsidRPr="009659C1">
        <w:t>i</w:t>
      </w:r>
      <w:r w:rsidR="009B51B5" w:rsidRPr="009659C1">
        <w:t>r</w:t>
      </w:r>
      <w:r w:rsidR="007748CE" w:rsidRPr="009659C1">
        <w:t xml:space="preserve"> pasikeitus</w:t>
      </w:r>
      <w:r w:rsidR="003A3515">
        <w:t>io</w:t>
      </w:r>
      <w:r w:rsidR="007748CE" w:rsidRPr="009659C1">
        <w:t xml:space="preserve"> </w:t>
      </w:r>
      <w:r w:rsidR="00396027" w:rsidRPr="009659C1">
        <w:t>pareiginės algos bazin</w:t>
      </w:r>
      <w:r w:rsidR="003A3515">
        <w:t>io</w:t>
      </w:r>
      <w:r w:rsidR="00396027" w:rsidRPr="009659C1">
        <w:t xml:space="preserve"> dyd</w:t>
      </w:r>
      <w:r w:rsidR="003A3515">
        <w:t>žio</w:t>
      </w:r>
      <w:r w:rsidR="00396027" w:rsidRPr="009659C1">
        <w:t>. Be to</w:t>
      </w:r>
      <w:r w:rsidR="009B51B5" w:rsidRPr="009659C1">
        <w:t>,</w:t>
      </w:r>
      <w:r w:rsidR="00396027" w:rsidRPr="009659C1">
        <w:t xml:space="preserve"> </w:t>
      </w:r>
      <w:r w:rsidR="009B51B5" w:rsidRPr="009659C1">
        <w:t>S</w:t>
      </w:r>
      <w:r w:rsidR="00396027" w:rsidRPr="009659C1">
        <w:t xml:space="preserve">avivaldybė iš </w:t>
      </w:r>
      <w:r w:rsidR="009B51B5" w:rsidRPr="009659C1">
        <w:t>S</w:t>
      </w:r>
      <w:r w:rsidR="00396027" w:rsidRPr="009659C1">
        <w:t>avivaldybės biudžeto lėšų 20</w:t>
      </w:r>
      <w:r w:rsidR="009659C1" w:rsidRPr="009659C1">
        <w:t>20</w:t>
      </w:r>
      <w:r w:rsidR="00396027" w:rsidRPr="009659C1">
        <w:t xml:space="preserve"> m. papildomai skiria</w:t>
      </w:r>
      <w:r w:rsidR="00EE0077" w:rsidRPr="009659C1">
        <w:t xml:space="preserve"> </w:t>
      </w:r>
      <w:r w:rsidR="00396027" w:rsidRPr="009659C1">
        <w:t>š</w:t>
      </w:r>
      <w:r w:rsidR="00B319EF" w:rsidRPr="009659C1">
        <w:t xml:space="preserve">vietimo </w:t>
      </w:r>
      <w:r w:rsidR="00396027" w:rsidRPr="009659C1">
        <w:t>pagalbai 12</w:t>
      </w:r>
      <w:r w:rsidR="009659C1" w:rsidRPr="009659C1">
        <w:t>3</w:t>
      </w:r>
      <w:r w:rsidR="00396027" w:rsidRPr="009659C1">
        <w:t>,0</w:t>
      </w:r>
      <w:r w:rsidR="009659C1" w:rsidRPr="009659C1">
        <w:t>90</w:t>
      </w:r>
      <w:r w:rsidR="00396027" w:rsidRPr="009659C1">
        <w:t xml:space="preserve"> tūkst. eurų, </w:t>
      </w:r>
      <w:r w:rsidR="009659C1" w:rsidRPr="009659C1">
        <w:t>20</w:t>
      </w:r>
      <w:r w:rsidR="00396027" w:rsidRPr="009659C1">
        <w:t xml:space="preserve">,0 </w:t>
      </w:r>
      <w:bookmarkStart w:id="16" w:name="_Hlk30964059"/>
      <w:r w:rsidR="00396027" w:rsidRPr="009659C1">
        <w:t xml:space="preserve">tūkst. eurų </w:t>
      </w:r>
      <w:bookmarkEnd w:id="16"/>
      <w:r w:rsidR="00396027" w:rsidRPr="009659C1">
        <w:t>vaikų vasaros poilsio programoms finansuoti</w:t>
      </w:r>
      <w:r w:rsidR="009659C1" w:rsidRPr="009659C1">
        <w:t xml:space="preserve"> (buvo skirta 15,0 tūkst. eurų)</w:t>
      </w:r>
      <w:r w:rsidR="00B07AD5" w:rsidRPr="009659C1">
        <w:t xml:space="preserve">, </w:t>
      </w:r>
      <w:r w:rsidR="00616F2A" w:rsidRPr="00616F2A">
        <w:t>454,510</w:t>
      </w:r>
      <w:r w:rsidR="00B07AD5" w:rsidRPr="00616F2A">
        <w:t xml:space="preserve"> tūkst. eurų </w:t>
      </w:r>
      <w:r w:rsidR="009B51B5" w:rsidRPr="00616F2A">
        <w:t>R</w:t>
      </w:r>
      <w:r w:rsidR="00B07AD5" w:rsidRPr="00616F2A">
        <w:t>ekreacijos paslaugų centrui švietimo įstaigų aprūpinimui.</w:t>
      </w:r>
      <w:r w:rsidR="00396027" w:rsidRPr="00616F2A">
        <w:t xml:space="preserve"> </w:t>
      </w:r>
      <w:r w:rsidR="00570148" w:rsidRPr="00616F2A">
        <w:t>Šiais metais</w:t>
      </w:r>
      <w:r w:rsidR="00570148" w:rsidRPr="009659C1">
        <w:t xml:space="preserve">  tęsiamas projektas „</w:t>
      </w:r>
      <w:r w:rsidR="009659C1" w:rsidRPr="009659C1">
        <w:t>Nacionalinis švietimo projektas „Lyderių laikas 3“ Šiaurės rytų Lietuvos savivaldybių grupėje 2019–2020 metai</w:t>
      </w:r>
      <w:r w:rsidR="003A3515">
        <w:t>s</w:t>
      </w:r>
      <w:r w:rsidR="00570148" w:rsidRPr="009659C1">
        <w:t>“</w:t>
      </w:r>
      <w:r w:rsidR="00FE1F2C" w:rsidRPr="009659C1">
        <w:t xml:space="preserve">, </w:t>
      </w:r>
      <w:bookmarkStart w:id="17" w:name="_Hlk30965206"/>
      <w:r w:rsidR="00FE1F2C" w:rsidRPr="009659C1">
        <w:t>numatyti asignavimai</w:t>
      </w:r>
      <w:r w:rsidR="00E82C00" w:rsidRPr="009659C1">
        <w:t xml:space="preserve"> projekt</w:t>
      </w:r>
      <w:r w:rsidR="009659C1" w:rsidRPr="009659C1">
        <w:t>ams</w:t>
      </w:r>
      <w:r w:rsidR="00E82C00" w:rsidRPr="009659C1">
        <w:t xml:space="preserve"> </w:t>
      </w:r>
      <w:r w:rsidR="009B51B5" w:rsidRPr="009659C1">
        <w:t>„</w:t>
      </w:r>
      <w:bookmarkEnd w:id="17"/>
      <w:r w:rsidR="009659C1" w:rsidRPr="009659C1">
        <w:t>IT programavimo ir robotikos kompetencijų ugdymas pasienio regionų Latgalos ir Visagino mokyklose</w:t>
      </w:r>
      <w:r w:rsidR="009659C1" w:rsidRPr="00A8484B">
        <w:t>“</w:t>
      </w:r>
      <w:r w:rsidR="009B51B5" w:rsidRPr="00A8484B">
        <w:t>,</w:t>
      </w:r>
      <w:r w:rsidR="009659C1" w:rsidRPr="00A8484B">
        <w:t xml:space="preserve"> </w:t>
      </w:r>
      <w:bookmarkStart w:id="18" w:name="_Hlk30964475"/>
      <w:r w:rsidR="009659C1" w:rsidRPr="00A8484B">
        <w:t xml:space="preserve">„Socialinių paslaugų kokybės gerinimas ir įvairovės plėtra specialiųjų </w:t>
      </w:r>
      <w:r w:rsidR="00A8484B" w:rsidRPr="00A8484B">
        <w:t>poreikių</w:t>
      </w:r>
      <w:r w:rsidR="009659C1" w:rsidRPr="00A8484B">
        <w:t xml:space="preserve"> vaikams Lietuvoje ir Latvijoje“</w:t>
      </w:r>
      <w:bookmarkEnd w:id="18"/>
      <w:r w:rsidR="009659C1" w:rsidRPr="00A8484B">
        <w:t xml:space="preserve">, </w:t>
      </w:r>
      <w:r w:rsidR="00A8484B" w:rsidRPr="00A8484B">
        <w:t xml:space="preserve">„Draugystės progimnazijos dalyvavimas 09.2.1. ESFA-V-719 priemonėje </w:t>
      </w:r>
      <w:r w:rsidR="003A3515">
        <w:t>„</w:t>
      </w:r>
      <w:r w:rsidR="00A8484B" w:rsidRPr="00A8484B">
        <w:t>Kokybės krepšelis“,</w:t>
      </w:r>
      <w:r w:rsidR="00FE1F2C" w:rsidRPr="00A8484B">
        <w:t xml:space="preserve"> tur</w:t>
      </w:r>
      <w:r w:rsidR="009B51B5" w:rsidRPr="00A8484B">
        <w:t>t</w:t>
      </w:r>
      <w:r w:rsidR="00FE1F2C" w:rsidRPr="00A8484B">
        <w:t xml:space="preserve">ui įsigyti, </w:t>
      </w:r>
      <w:r w:rsidR="00EE0077" w:rsidRPr="00A8484B">
        <w:t>švietimo priemonėms</w:t>
      </w:r>
      <w:r w:rsidR="00FE1F2C" w:rsidRPr="00A8484B">
        <w:t>, socialin</w:t>
      </w:r>
      <w:r w:rsidR="009B51B5" w:rsidRPr="00A8484B">
        <w:t>e</w:t>
      </w:r>
      <w:r w:rsidR="00FE1F2C" w:rsidRPr="00A8484B">
        <w:t>s-emocines kompetencijas ugdančios ugdymo aplinkos kūrimui</w:t>
      </w:r>
      <w:r w:rsidR="00EE0077" w:rsidRPr="00A8484B">
        <w:t>, prevencinėms programoms įgyvendinti</w:t>
      </w:r>
      <w:r w:rsidR="00734294" w:rsidRPr="00A8484B">
        <w:t>, neformali</w:t>
      </w:r>
      <w:r w:rsidR="0034793C" w:rsidRPr="00A8484B">
        <w:t>ojo</w:t>
      </w:r>
      <w:r w:rsidR="00734294" w:rsidRPr="00A8484B">
        <w:t xml:space="preserve"> </w:t>
      </w:r>
      <w:r w:rsidR="00E82C00" w:rsidRPr="00A8484B">
        <w:t>suaugusių</w:t>
      </w:r>
      <w:r w:rsidR="009B51B5" w:rsidRPr="00A8484B">
        <w:t>jų</w:t>
      </w:r>
      <w:r w:rsidR="00E82C00" w:rsidRPr="00A8484B">
        <w:t xml:space="preserve"> </w:t>
      </w:r>
      <w:r w:rsidR="00734294" w:rsidRPr="00A8484B">
        <w:t>švietimo program</w:t>
      </w:r>
      <w:r w:rsidR="0034793C" w:rsidRPr="00A8484B">
        <w:t>oms</w:t>
      </w:r>
      <w:r w:rsidR="00734294" w:rsidRPr="00A8484B">
        <w:t xml:space="preserve"> finans</w:t>
      </w:r>
      <w:r w:rsidR="0034793C" w:rsidRPr="00A8484B">
        <w:t>uoti</w:t>
      </w:r>
      <w:r w:rsidR="00EE0077" w:rsidRPr="00A8484B">
        <w:t>.</w:t>
      </w:r>
      <w:r w:rsidR="00396027" w:rsidRPr="00A8484B">
        <w:t xml:space="preserve"> </w:t>
      </w:r>
      <w:r w:rsidR="00A8484B" w:rsidRPr="00616F2A">
        <w:t>5,260</w:t>
      </w:r>
      <w:r w:rsidR="00396027" w:rsidRPr="00616F2A">
        <w:t xml:space="preserve"> tūkst. eurų Europos Sąjungos  lėšos projektui „Neformaliojo vaikų šv</w:t>
      </w:r>
      <w:r w:rsidR="00293B00" w:rsidRPr="00616F2A">
        <w:t>i</w:t>
      </w:r>
      <w:r w:rsidR="00396027" w:rsidRPr="00616F2A">
        <w:t xml:space="preserve">etimo paslaugų plėtra“ </w:t>
      </w:r>
      <w:r w:rsidR="00A8484B" w:rsidRPr="00616F2A">
        <w:t xml:space="preserve">2019 m. </w:t>
      </w:r>
      <w:r w:rsidR="00616F2A" w:rsidRPr="00616F2A">
        <w:t>negaut</w:t>
      </w:r>
      <w:r w:rsidR="003A3515">
        <w:t>ų</w:t>
      </w:r>
      <w:r w:rsidR="00616F2A" w:rsidRPr="00616F2A">
        <w:t xml:space="preserve"> lėšų daliai</w:t>
      </w:r>
      <w:r w:rsidR="00396027" w:rsidRPr="00616F2A">
        <w:t xml:space="preserve">, </w:t>
      </w:r>
      <w:r w:rsidR="00A8484B" w:rsidRPr="00616F2A">
        <w:t>53,1</w:t>
      </w:r>
      <w:r w:rsidR="00396027" w:rsidRPr="00616F2A">
        <w:t xml:space="preserve"> tūkst. eurų valstybės lėšos skirtos </w:t>
      </w:r>
      <w:r w:rsidR="00A8484B" w:rsidRPr="00616F2A">
        <w:t xml:space="preserve">8 mėn. </w:t>
      </w:r>
      <w:r w:rsidR="00396027" w:rsidRPr="00616F2A">
        <w:t>neformaliojo švietimo mokyklose dirbančių</w:t>
      </w:r>
      <w:r w:rsidR="00396027" w:rsidRPr="00A8484B">
        <w:t xml:space="preserve"> mokytojų darbo užmokesčiui</w:t>
      </w:r>
      <w:r w:rsidR="00396027" w:rsidRPr="00616F2A">
        <w:t xml:space="preserve">, </w:t>
      </w:r>
      <w:r w:rsidR="00616F2A" w:rsidRPr="00616F2A">
        <w:t>667,631</w:t>
      </w:r>
      <w:r w:rsidR="00396027" w:rsidRPr="00616F2A">
        <w:t xml:space="preserve"> tūkst. eurų įstaigų pajamų lėšos</w:t>
      </w:r>
      <w:r w:rsidR="00302D44" w:rsidRPr="00616F2A">
        <w:t xml:space="preserve"> ir kita</w:t>
      </w:r>
      <w:r w:rsidR="00396027" w:rsidRPr="00616F2A">
        <w:t>.</w:t>
      </w:r>
    </w:p>
    <w:p w14:paraId="09CA3DBE" w14:textId="77777777" w:rsidR="00EE0077" w:rsidRPr="00616F2A" w:rsidRDefault="00E82C00" w:rsidP="00293B00">
      <w:pPr>
        <w:ind w:firstLine="1418"/>
        <w:jc w:val="both"/>
      </w:pPr>
      <w:r w:rsidRPr="00616F2A">
        <w:rPr>
          <w:b/>
        </w:rPr>
        <w:t>Kūno kultūros ir sporto plėtros programai</w:t>
      </w:r>
      <w:r w:rsidRPr="00616F2A">
        <w:t xml:space="preserve"> – </w:t>
      </w:r>
      <w:r w:rsidR="00616F2A" w:rsidRPr="00616F2A">
        <w:t>1181,612</w:t>
      </w:r>
      <w:r w:rsidRPr="00616F2A">
        <w:t xml:space="preserve"> tūkst. eurų, </w:t>
      </w:r>
      <w:bookmarkStart w:id="19" w:name="_Hlk125754"/>
      <w:r w:rsidRPr="00616F2A">
        <w:t xml:space="preserve">iš jų </w:t>
      </w:r>
      <w:bookmarkEnd w:id="19"/>
      <w:r w:rsidR="00616F2A" w:rsidRPr="00616F2A">
        <w:t>766,986</w:t>
      </w:r>
      <w:r w:rsidRPr="00616F2A">
        <w:t xml:space="preserve"> tūkst. eurų darbo užmokesčiui, </w:t>
      </w:r>
      <w:r w:rsidR="00616F2A" w:rsidRPr="00616F2A">
        <w:t>214,597</w:t>
      </w:r>
      <w:r w:rsidRPr="00616F2A">
        <w:t xml:space="preserve"> tūkst. eurų Savivaldybės administracijai</w:t>
      </w:r>
      <w:r w:rsidR="00293B00" w:rsidRPr="00616F2A">
        <w:t xml:space="preserve"> (</w:t>
      </w:r>
      <w:r w:rsidR="00A8484B" w:rsidRPr="00616F2A">
        <w:t>157,760</w:t>
      </w:r>
      <w:r w:rsidR="00293B00" w:rsidRPr="00616F2A">
        <w:t xml:space="preserve"> tūkst. eurų projektui „Sportas kaip socialinio bendravimo forma su rizikos grupės paaugliais (RISK-FREE)“</w:t>
      </w:r>
      <w:r w:rsidR="009B51B5" w:rsidRPr="00616F2A">
        <w:t xml:space="preserve"> </w:t>
      </w:r>
      <w:r w:rsidR="00293B00" w:rsidRPr="00616F2A">
        <w:t>įgyvendin</w:t>
      </w:r>
      <w:r w:rsidR="009B51B5" w:rsidRPr="00616F2A">
        <w:t>ti</w:t>
      </w:r>
      <w:r w:rsidR="00A8484B" w:rsidRPr="00616F2A">
        <w:t xml:space="preserve"> apyvartinėms lėšoms</w:t>
      </w:r>
      <w:r w:rsidR="00293B00" w:rsidRPr="00616F2A">
        <w:t xml:space="preserve">) (Interreg), </w:t>
      </w:r>
      <w:r w:rsidR="00A8484B" w:rsidRPr="00616F2A">
        <w:t xml:space="preserve">30,0 tūkst. eurų numatyta </w:t>
      </w:r>
      <w:r w:rsidR="00E77BFD" w:rsidRPr="00616F2A">
        <w:t xml:space="preserve">Sporto rėmimo fondo lėšomis finansuojamų projektų įgyvendinimo užtikrinimui, </w:t>
      </w:r>
      <w:r w:rsidR="00616F2A" w:rsidRPr="00616F2A">
        <w:t>874,608</w:t>
      </w:r>
      <w:r w:rsidR="00293B00" w:rsidRPr="00616F2A">
        <w:t xml:space="preserve"> tūkst. eurų, iš jų </w:t>
      </w:r>
      <w:r w:rsidR="00616F2A" w:rsidRPr="00616F2A">
        <w:t>52,798</w:t>
      </w:r>
      <w:r w:rsidR="00293B00" w:rsidRPr="00616F2A">
        <w:t xml:space="preserve"> tūkst. eurų įstaigos pajamos, </w:t>
      </w:r>
      <w:r w:rsidRPr="00616F2A">
        <w:t xml:space="preserve">Sporto </w:t>
      </w:r>
      <w:r w:rsidR="00293B00" w:rsidRPr="00616F2A">
        <w:t>centro išlaikymui (</w:t>
      </w:r>
      <w:r w:rsidR="00616F2A" w:rsidRPr="00616F2A">
        <w:t>711,4</w:t>
      </w:r>
      <w:r w:rsidR="00293B00" w:rsidRPr="00616F2A">
        <w:t xml:space="preserve"> </w:t>
      </w:r>
      <w:r w:rsidR="009B51B5" w:rsidRPr="00616F2A">
        <w:t xml:space="preserve">tūkst. eurų </w:t>
      </w:r>
      <w:r w:rsidR="00293B00" w:rsidRPr="00616F2A">
        <w:t xml:space="preserve">darbo užmokesčiui ir </w:t>
      </w:r>
      <w:r w:rsidR="00616F2A" w:rsidRPr="00616F2A">
        <w:t>10,68</w:t>
      </w:r>
      <w:r w:rsidR="00293B00" w:rsidRPr="00616F2A">
        <w:t xml:space="preserve"> tūkst. eurų turtui įsigyti), </w:t>
      </w:r>
      <w:r w:rsidR="00616F2A" w:rsidRPr="00616F2A">
        <w:t>92,407</w:t>
      </w:r>
      <w:r w:rsidR="00293B00" w:rsidRPr="00616F2A">
        <w:t xml:space="preserve"> tūkst. eurų Rekreacijos paslaugų </w:t>
      </w:r>
      <w:r w:rsidR="009B51B5" w:rsidRPr="00616F2A">
        <w:t xml:space="preserve">centro </w:t>
      </w:r>
      <w:r w:rsidR="00293B00" w:rsidRPr="00616F2A">
        <w:t>baseino ir sporto salės nuomos paslaugoms</w:t>
      </w:r>
      <w:r w:rsidR="00302D44" w:rsidRPr="00616F2A">
        <w:t xml:space="preserve"> ir kitoms priemonėms finansuoti</w:t>
      </w:r>
      <w:r w:rsidR="00B07AD5" w:rsidRPr="00616F2A">
        <w:t>.</w:t>
      </w:r>
    </w:p>
    <w:p w14:paraId="2EAF4C36" w14:textId="4CEB067D" w:rsidR="00B07AD5" w:rsidRPr="00A57235" w:rsidRDefault="00B07AD5" w:rsidP="00B07AD5">
      <w:pPr>
        <w:ind w:firstLine="1296"/>
        <w:jc w:val="both"/>
        <w:rPr>
          <w:highlight w:val="yellow"/>
        </w:rPr>
      </w:pPr>
      <w:r w:rsidRPr="00616F2A">
        <w:rPr>
          <w:b/>
        </w:rPr>
        <w:t>Gyventojų kultūrinio aktyvumo skatinimo ir identiteto stiprinimo programai</w:t>
      </w:r>
      <w:r w:rsidRPr="00616F2A">
        <w:t xml:space="preserve"> – </w:t>
      </w:r>
      <w:r w:rsidR="00F75F98">
        <w:t>1199,821</w:t>
      </w:r>
      <w:r w:rsidRPr="00616F2A">
        <w:t xml:space="preserve"> tūkst. eurų, iš jų </w:t>
      </w:r>
      <w:r w:rsidR="00F75F98">
        <w:t>913,56</w:t>
      </w:r>
      <w:r w:rsidR="003A3515" w:rsidRPr="003A3515">
        <w:t xml:space="preserve"> tūkst. eurų </w:t>
      </w:r>
      <w:r w:rsidR="003A3515">
        <w:t>d</w:t>
      </w:r>
      <w:r w:rsidRPr="00616F2A">
        <w:t xml:space="preserve">arbo užmokesčiui. </w:t>
      </w:r>
      <w:r w:rsidR="00B15BF8" w:rsidRPr="00616F2A">
        <w:t>20</w:t>
      </w:r>
      <w:r w:rsidR="000C7170" w:rsidRPr="00616F2A">
        <w:t>20</w:t>
      </w:r>
      <w:r w:rsidR="00B15BF8" w:rsidRPr="000C7170">
        <w:t xml:space="preserve"> m. biudžeto projekte p</w:t>
      </w:r>
      <w:r w:rsidRPr="000C7170">
        <w:t xml:space="preserve">apildomai </w:t>
      </w:r>
      <w:r w:rsidR="000C7170" w:rsidRPr="000C7170">
        <w:t>17</w:t>
      </w:r>
      <w:r w:rsidRPr="000C7170">
        <w:t>,</w:t>
      </w:r>
      <w:r w:rsidR="000C7170" w:rsidRPr="000C7170">
        <w:t>1</w:t>
      </w:r>
      <w:r w:rsidRPr="000C7170">
        <w:t xml:space="preserve"> tūkst. eurų savivaldybė prisidėjo prie valstybės </w:t>
      </w:r>
      <w:r w:rsidR="009B51B5" w:rsidRPr="000C7170">
        <w:t xml:space="preserve">skirtų lėšų </w:t>
      </w:r>
      <w:r w:rsidR="000C7170" w:rsidRPr="000C7170">
        <w:t>40</w:t>
      </w:r>
      <w:r w:rsidRPr="000C7170">
        <w:t>,0 tūkst. eurų kultūros darbuotojams darbo užmokesči</w:t>
      </w:r>
      <w:r w:rsidR="009B51B5" w:rsidRPr="000C7170">
        <w:t>ui</w:t>
      </w:r>
      <w:r w:rsidRPr="000C7170">
        <w:t xml:space="preserve"> padidin</w:t>
      </w:r>
      <w:r w:rsidR="009B51B5" w:rsidRPr="000C7170">
        <w:t>ti</w:t>
      </w:r>
      <w:r w:rsidRPr="000C7170">
        <w:t xml:space="preserve"> nuo 20</w:t>
      </w:r>
      <w:r w:rsidR="000C7170">
        <w:t>20</w:t>
      </w:r>
      <w:r w:rsidRPr="000C7170">
        <w:t xml:space="preserve"> m. sausio 1 d</w:t>
      </w:r>
      <w:r w:rsidRPr="00616F2A">
        <w:t>.</w:t>
      </w:r>
      <w:r w:rsidR="000C7170" w:rsidRPr="00616F2A">
        <w:t>,</w:t>
      </w:r>
      <w:r w:rsidRPr="00616F2A">
        <w:t xml:space="preserve"> </w:t>
      </w:r>
      <w:r w:rsidR="00616F2A" w:rsidRPr="00616F2A">
        <w:t>262,642</w:t>
      </w:r>
      <w:r w:rsidRPr="00616F2A">
        <w:t xml:space="preserve"> tūkst. eurų skirta Viešosios bibliotekos ir </w:t>
      </w:r>
      <w:r w:rsidR="00616F2A" w:rsidRPr="00616F2A">
        <w:t>897,579</w:t>
      </w:r>
      <w:r w:rsidR="006B4D0B" w:rsidRPr="00616F2A">
        <w:t xml:space="preserve"> tūkst. eurų Kultūros centro išlaikymui ir kultūrinių renginių ir programų vykdymui, </w:t>
      </w:r>
      <w:r w:rsidR="00616F2A" w:rsidRPr="00616F2A">
        <w:t>73,5</w:t>
      </w:r>
      <w:r w:rsidR="006B4D0B" w:rsidRPr="00616F2A">
        <w:t xml:space="preserve"> tūkst. eurų Savivaldybės administracijai (</w:t>
      </w:r>
      <w:r w:rsidR="000C7170" w:rsidRPr="00616F2A">
        <w:t>112</w:t>
      </w:r>
      <w:r w:rsidR="000C7170" w:rsidRPr="000C7170">
        <w:t>,1</w:t>
      </w:r>
      <w:r w:rsidR="006B4D0B" w:rsidRPr="000C7170">
        <w:t xml:space="preserve"> tūkst. eurų kultūros renginių organizavimui, </w:t>
      </w:r>
      <w:r w:rsidR="000C7170" w:rsidRPr="000C7170">
        <w:t>12,2</w:t>
      </w:r>
      <w:r w:rsidR="006B4D0B" w:rsidRPr="000C7170">
        <w:t xml:space="preserve"> tūkst. eurų bendruomeninių iniciatyvų skatinimui, </w:t>
      </w:r>
      <w:r w:rsidR="000C7170" w:rsidRPr="000C7170">
        <w:t>5,7</w:t>
      </w:r>
      <w:r w:rsidR="006B4D0B" w:rsidRPr="000C7170">
        <w:t xml:space="preserve"> tūkst. eurų pasiruošimui Dainų šventei). Numatyti asignavimai Vieš</w:t>
      </w:r>
      <w:r w:rsidR="009B51B5" w:rsidRPr="000C7170">
        <w:t>ajai</w:t>
      </w:r>
      <w:r w:rsidR="006B4D0B" w:rsidRPr="000C7170">
        <w:t xml:space="preserve"> bibliotekai</w:t>
      </w:r>
      <w:r w:rsidR="009B51B5" w:rsidRPr="000C7170">
        <w:t xml:space="preserve"> </w:t>
      </w:r>
      <w:r w:rsidR="006B4D0B" w:rsidRPr="000C7170">
        <w:t>projektui „Gyventojų skatinimas išmaniai naudotis internetu atnaujintoje infrastruktūroje“</w:t>
      </w:r>
      <w:r w:rsidR="000C7170" w:rsidRPr="000C7170">
        <w:t>,</w:t>
      </w:r>
      <w:r w:rsidR="006B4D0B" w:rsidRPr="000C7170">
        <w:t xml:space="preserve"> </w:t>
      </w:r>
      <w:r w:rsidR="003A503E">
        <w:t>K</w:t>
      </w:r>
      <w:r w:rsidR="000C7170" w:rsidRPr="000C7170">
        <w:t xml:space="preserve">ultūros tarybos remiamų kultūros ir meno projektų įgyvendinimo </w:t>
      </w:r>
      <w:r w:rsidR="000C7170" w:rsidRPr="00616F2A">
        <w:t xml:space="preserve">užtikrinimui </w:t>
      </w:r>
      <w:r w:rsidR="00B15BF8" w:rsidRPr="00616F2A">
        <w:t>ir kitai veiklai</w:t>
      </w:r>
      <w:r w:rsidR="006B4D0B" w:rsidRPr="00616F2A">
        <w:t>.</w:t>
      </w:r>
    </w:p>
    <w:p w14:paraId="160B7136" w14:textId="77777777" w:rsidR="00B51B3A" w:rsidRPr="00E32A57" w:rsidRDefault="006B4D0B" w:rsidP="00644FD8">
      <w:pPr>
        <w:ind w:firstLine="1296"/>
        <w:jc w:val="both"/>
      </w:pPr>
      <w:r w:rsidRPr="00CE4881">
        <w:rPr>
          <w:b/>
        </w:rPr>
        <w:t>Bendruomeniškumo skatinimo programai</w:t>
      </w:r>
      <w:r w:rsidRPr="00CE4881">
        <w:t xml:space="preserve"> – </w:t>
      </w:r>
      <w:r w:rsidR="00616F2A" w:rsidRPr="00CE4881">
        <w:t>200,189</w:t>
      </w:r>
      <w:r w:rsidR="00B51B3A" w:rsidRPr="00CE4881">
        <w:t xml:space="preserve"> tūkst.</w:t>
      </w:r>
      <w:r w:rsidRPr="00CE4881">
        <w:t xml:space="preserve"> eurų, </w:t>
      </w:r>
      <w:r w:rsidR="00CE4881">
        <w:t>iš jų</w:t>
      </w:r>
      <w:r w:rsidR="00E32A57" w:rsidRPr="00E32A57">
        <w:t>18,289</w:t>
      </w:r>
      <w:r w:rsidR="00B51B3A" w:rsidRPr="00E32A57">
        <w:t xml:space="preserve"> tūkst. eurų numatyta projektui </w:t>
      </w:r>
      <w:r w:rsidR="00FD174D" w:rsidRPr="00E32A57">
        <w:t>„</w:t>
      </w:r>
      <w:r w:rsidR="00B51B3A" w:rsidRPr="00E32A57">
        <w:t>Visagino miesto 2016</w:t>
      </w:r>
      <w:r w:rsidR="00FD174D" w:rsidRPr="00E32A57">
        <w:t>–</w:t>
      </w:r>
      <w:r w:rsidR="00B51B3A" w:rsidRPr="00E32A57">
        <w:t>2022 metų vietos plėtros strategijos</w:t>
      </w:r>
      <w:r w:rsidR="00FD174D" w:rsidRPr="00E32A57">
        <w:t>“</w:t>
      </w:r>
      <w:r w:rsidR="00B51B3A" w:rsidRPr="00E32A57">
        <w:t xml:space="preserve"> kofinans</w:t>
      </w:r>
      <w:r w:rsidR="003A503E">
        <w:t>uot</w:t>
      </w:r>
      <w:r w:rsidR="00B51B3A" w:rsidRPr="00E32A57">
        <w:t>i, 10,0 tūkst. eurų religinių bendruomenių projektų savivaldybėje įgyvendinim</w:t>
      </w:r>
      <w:r w:rsidR="00FD174D" w:rsidRPr="00E32A57">
        <w:t>ui</w:t>
      </w:r>
      <w:r w:rsidR="00B51B3A" w:rsidRPr="00E32A57">
        <w:t xml:space="preserve"> skatin</w:t>
      </w:r>
      <w:r w:rsidR="00FD174D" w:rsidRPr="00E32A57">
        <w:t>ti</w:t>
      </w:r>
      <w:r w:rsidR="00B51B3A" w:rsidRPr="00E32A57">
        <w:t>, 8</w:t>
      </w:r>
      <w:r w:rsidR="00E32A57" w:rsidRPr="00E32A57">
        <w:t>4</w:t>
      </w:r>
      <w:r w:rsidR="00B51B3A" w:rsidRPr="00E32A57">
        <w:t>,0 tūkst. eurų Visagino savivaldybei nuosavybės teise priklausančių gyvenamųjų patalpų, esančių Visagine, Festivalio g. 1, 3, 6 ir 8, priemonių plano įgyvendinim</w:t>
      </w:r>
      <w:r w:rsidR="00FD174D" w:rsidRPr="00E32A57">
        <w:t>ui</w:t>
      </w:r>
      <w:r w:rsidR="00B51B3A" w:rsidRPr="00E32A57">
        <w:t xml:space="preserve"> užtikrin</w:t>
      </w:r>
      <w:r w:rsidR="00FD174D" w:rsidRPr="00E32A57">
        <w:t>t</w:t>
      </w:r>
      <w:r w:rsidR="00B51B3A" w:rsidRPr="00E32A57">
        <w:t xml:space="preserve">i, </w:t>
      </w:r>
      <w:r w:rsidR="00E32A57" w:rsidRPr="00E32A57">
        <w:t>7</w:t>
      </w:r>
      <w:r w:rsidR="00B51B3A" w:rsidRPr="00E32A57">
        <w:t xml:space="preserve">5,0 tūkst. eurų </w:t>
      </w:r>
      <w:r w:rsidR="00D8163A" w:rsidRPr="00E32A57">
        <w:t>nusikalstamumo prevencij</w:t>
      </w:r>
      <w:r w:rsidR="00FD174D" w:rsidRPr="00E32A57">
        <w:t>os</w:t>
      </w:r>
      <w:r w:rsidR="00D8163A" w:rsidRPr="00E32A57">
        <w:t xml:space="preserve"> ir mažinimo priemonėms finansuoti, numatyt</w:t>
      </w:r>
      <w:r w:rsidR="00FD174D" w:rsidRPr="00E32A57">
        <w:t>os</w:t>
      </w:r>
      <w:r w:rsidR="00D8163A" w:rsidRPr="00E32A57">
        <w:t xml:space="preserve"> lėšos jaunimo politikos, jaunimo iniciatyvos ir atvir</w:t>
      </w:r>
      <w:r w:rsidR="00FD174D" w:rsidRPr="00E32A57">
        <w:t>ą</w:t>
      </w:r>
      <w:r w:rsidR="00D8163A" w:rsidRPr="00E32A57">
        <w:t xml:space="preserve"> darb</w:t>
      </w:r>
      <w:r w:rsidR="00FD174D" w:rsidRPr="00E32A57">
        <w:t>ą</w:t>
      </w:r>
      <w:r w:rsidR="00D8163A" w:rsidRPr="00E32A57">
        <w:t xml:space="preserve"> su jaunimu vykdančių organizacijų institucinės paramos programo</w:t>
      </w:r>
      <w:r w:rsidR="00FD174D" w:rsidRPr="00E32A57">
        <w:t>m</w:t>
      </w:r>
      <w:r w:rsidR="00D8163A" w:rsidRPr="00E32A57">
        <w:t>s įgyvendin</w:t>
      </w:r>
      <w:r w:rsidR="00FD174D" w:rsidRPr="00E32A57">
        <w:t>t</w:t>
      </w:r>
      <w:r w:rsidR="00D8163A" w:rsidRPr="00E32A57">
        <w:t>i</w:t>
      </w:r>
      <w:r w:rsidR="00B15BF8" w:rsidRPr="00E32A57">
        <w:t xml:space="preserve"> ir kitoms priemonėms finansuoti</w:t>
      </w:r>
      <w:r w:rsidR="00B51B3A" w:rsidRPr="00E32A57">
        <w:t>.</w:t>
      </w:r>
    </w:p>
    <w:p w14:paraId="5002E3EE" w14:textId="7D9BDAD9" w:rsidR="00EE0077" w:rsidRPr="00856CB1" w:rsidRDefault="0058118B" w:rsidP="001E2E83">
      <w:pPr>
        <w:ind w:firstLine="1296"/>
        <w:jc w:val="both"/>
      </w:pPr>
      <w:r w:rsidRPr="00385D90">
        <w:rPr>
          <w:b/>
        </w:rPr>
        <w:t>Socialinės paramos įgyvendinimo programai</w:t>
      </w:r>
      <w:r w:rsidRPr="00385D90">
        <w:t xml:space="preserve"> </w:t>
      </w:r>
      <w:r w:rsidR="00404D69" w:rsidRPr="00385D90">
        <w:t>–</w:t>
      </w:r>
      <w:r w:rsidR="00783CE7" w:rsidRPr="00385D90">
        <w:t xml:space="preserve"> </w:t>
      </w:r>
      <w:r w:rsidR="00F75F98">
        <w:t>4345,944</w:t>
      </w:r>
      <w:r w:rsidR="00D8163A" w:rsidRPr="00385D90">
        <w:t xml:space="preserve"> tūkst.</w:t>
      </w:r>
      <w:r w:rsidR="00783CE7" w:rsidRPr="00385D90">
        <w:t xml:space="preserve"> eurų</w:t>
      </w:r>
      <w:r w:rsidR="00A57ED0" w:rsidRPr="00385D90">
        <w:t>,</w:t>
      </w:r>
      <w:r w:rsidR="00783CE7" w:rsidRPr="00385D90">
        <w:t xml:space="preserve"> </w:t>
      </w:r>
      <w:r w:rsidR="00D8163A" w:rsidRPr="00385D90">
        <w:t xml:space="preserve">iš jų darbo užmokesčiui </w:t>
      </w:r>
      <w:r w:rsidR="00F75F98">
        <w:t>1341,068</w:t>
      </w:r>
      <w:r w:rsidR="00D8163A" w:rsidRPr="00385D90">
        <w:t xml:space="preserve"> tūkst. eurų ir </w:t>
      </w:r>
      <w:r w:rsidR="00E32A57" w:rsidRPr="00E32A57">
        <w:t>1149,0</w:t>
      </w:r>
      <w:r w:rsidR="00D8163A" w:rsidRPr="00E32A57">
        <w:t xml:space="preserve"> socialinė</w:t>
      </w:r>
      <w:r w:rsidR="003A503E">
        <w:t>m</w:t>
      </w:r>
      <w:r w:rsidR="00D8163A" w:rsidRPr="00E32A57">
        <w:t>s pašalpoms ir kompensacijoms už šildy</w:t>
      </w:r>
      <w:r w:rsidR="00D47664" w:rsidRPr="00E32A57">
        <w:t>m</w:t>
      </w:r>
      <w:r w:rsidR="00D8163A" w:rsidRPr="00E32A57">
        <w:t>ą, karštą ir šaltą vandenį išmokė</w:t>
      </w:r>
      <w:r w:rsidR="00FD174D" w:rsidRPr="00E32A57">
        <w:t>t</w:t>
      </w:r>
      <w:r w:rsidR="00D8163A" w:rsidRPr="00E32A57">
        <w:t xml:space="preserve">i, </w:t>
      </w:r>
      <w:r w:rsidR="00E32A57" w:rsidRPr="00E32A57">
        <w:t>103,4</w:t>
      </w:r>
      <w:r w:rsidR="00D47664" w:rsidRPr="00E32A57">
        <w:t xml:space="preserve"> tūkst. eurų laidojimo paša</w:t>
      </w:r>
      <w:r w:rsidR="00FD174D" w:rsidRPr="00E32A57">
        <w:t>l</w:t>
      </w:r>
      <w:r w:rsidR="00D47664" w:rsidRPr="00E32A57">
        <w:t>pai</w:t>
      </w:r>
      <w:r w:rsidR="00D47664" w:rsidRPr="00CE4881">
        <w:t xml:space="preserve">, </w:t>
      </w:r>
      <w:r w:rsidR="00CE4881" w:rsidRPr="00CE4881">
        <w:t>1598,521</w:t>
      </w:r>
      <w:r w:rsidR="00D47664" w:rsidRPr="00CE4881">
        <w:t xml:space="preserve"> tūkst. eurų socialinėms paslaugoms teikti, </w:t>
      </w:r>
      <w:r w:rsidR="00E32A57" w:rsidRPr="00CE4881">
        <w:t>208,850</w:t>
      </w:r>
      <w:r w:rsidR="00D47664" w:rsidRPr="00CE4881">
        <w:t xml:space="preserve"> tūkst. eurų vaikų nemokama</w:t>
      </w:r>
      <w:r w:rsidR="00D47664" w:rsidRPr="00E32A57">
        <w:t>m maitinimui</w:t>
      </w:r>
      <w:r w:rsidR="00FD174D" w:rsidRPr="00E32A57">
        <w:t>,</w:t>
      </w:r>
      <w:r w:rsidR="00D47664" w:rsidRPr="00E32A57">
        <w:t xml:space="preserve"> mokinio reikmėms finansuoti</w:t>
      </w:r>
      <w:r w:rsidR="00E32A57">
        <w:t xml:space="preserve">, įskaitant nuo 2020 m. rugsėjo 1 d. </w:t>
      </w:r>
      <w:r w:rsidR="003C6F43">
        <w:t>nemokam</w:t>
      </w:r>
      <w:r w:rsidR="003A503E">
        <w:t>ų</w:t>
      </w:r>
      <w:r w:rsidR="003C6F43">
        <w:t xml:space="preserve"> pietų sk</w:t>
      </w:r>
      <w:r w:rsidR="003A503E">
        <w:t>y</w:t>
      </w:r>
      <w:r w:rsidR="003C6F43">
        <w:t>rimą visose mokyklose mokiniams, kurie mokosi pagal priešmokyklinio ugdymo programą (</w:t>
      </w:r>
      <w:r w:rsidR="00CE4881">
        <w:t>priešmokyklinukams</w:t>
      </w:r>
      <w:r w:rsidR="003C6F43">
        <w:t>) ir pagal pradinio ugdymo programą pirmoje klasėje (pirmokams</w:t>
      </w:r>
      <w:r w:rsidR="003C6F43" w:rsidRPr="003C6F43">
        <w:t>)</w:t>
      </w:r>
      <w:r w:rsidR="00D47664" w:rsidRPr="003C6F43">
        <w:t xml:space="preserve">. </w:t>
      </w:r>
      <w:r w:rsidR="001E2E83" w:rsidRPr="003C6F43">
        <w:t>Siekiant sudaryti palankesn</w:t>
      </w:r>
      <w:r w:rsidR="00FD174D" w:rsidRPr="003C6F43">
        <w:t>e</w:t>
      </w:r>
      <w:r w:rsidR="001E2E83" w:rsidRPr="003C6F43">
        <w:t>s sąlygas žmonėms su sunkia negalia, vaikams</w:t>
      </w:r>
      <w:r w:rsidR="00FD174D" w:rsidRPr="003C6F43">
        <w:t>,</w:t>
      </w:r>
      <w:r w:rsidR="001E2E83" w:rsidRPr="003C6F43">
        <w:t xml:space="preserve"> likusiems be tėvų, vaikams su negalia, šeimoms</w:t>
      </w:r>
      <w:r w:rsidR="00FD174D" w:rsidRPr="003C6F43">
        <w:t>,</w:t>
      </w:r>
      <w:r w:rsidR="001E2E83" w:rsidRPr="003C6F43">
        <w:t xml:space="preserve"> turinčioms maž</w:t>
      </w:r>
      <w:r w:rsidR="00FD174D" w:rsidRPr="003C6F43">
        <w:t>a</w:t>
      </w:r>
      <w:r w:rsidR="001E2E83" w:rsidRPr="003C6F43">
        <w:t>s pajam</w:t>
      </w:r>
      <w:r w:rsidR="00FD174D" w:rsidRPr="003C6F43">
        <w:t>a</w:t>
      </w:r>
      <w:r w:rsidR="001E2E83" w:rsidRPr="003C6F43">
        <w:t>s</w:t>
      </w:r>
      <w:r w:rsidR="00FD174D" w:rsidRPr="003C6F43">
        <w:t>,</w:t>
      </w:r>
      <w:r w:rsidR="001E2E83" w:rsidRPr="003C6F43">
        <w:t xml:space="preserve"> savivaldybė planuoja skirti iš savivaldybės biudžeto lėšų </w:t>
      </w:r>
      <w:r w:rsidR="003C6F43" w:rsidRPr="003C6F43">
        <w:t>606,80</w:t>
      </w:r>
      <w:r w:rsidR="001E2E83" w:rsidRPr="003C6F43">
        <w:t xml:space="preserve"> tūkst. eurų</w:t>
      </w:r>
      <w:r w:rsidR="00214BB0" w:rsidRPr="003C6F43">
        <w:t xml:space="preserve"> ir </w:t>
      </w:r>
      <w:r w:rsidR="003C6F43" w:rsidRPr="003C6F43">
        <w:t>2,511</w:t>
      </w:r>
      <w:r w:rsidR="00214BB0" w:rsidRPr="003C6F43">
        <w:t xml:space="preserve"> tūkst. eurų Finansų ministerijos skirta dotacija iš valstybės biudžeto lėšų,  projektų nuosavo indėlio daliai </w:t>
      </w:r>
      <w:r w:rsidR="00214BB0" w:rsidRPr="003C6F43">
        <w:lastRenderedPageBreak/>
        <w:t>užtikrinti</w:t>
      </w:r>
      <w:r w:rsidR="001E2E83" w:rsidRPr="003C6F43">
        <w:t xml:space="preserve"> </w:t>
      </w:r>
      <w:r w:rsidR="00FD174D" w:rsidRPr="003C6F43">
        <w:t>šiems</w:t>
      </w:r>
      <w:r w:rsidR="00214BB0" w:rsidRPr="003C6F43">
        <w:t xml:space="preserve"> </w:t>
      </w:r>
      <w:r w:rsidR="001E2E83" w:rsidRPr="003C6F43">
        <w:t>projekt</w:t>
      </w:r>
      <w:r w:rsidR="00FD174D" w:rsidRPr="003C6F43">
        <w:t>ams</w:t>
      </w:r>
      <w:r w:rsidR="001E2E83" w:rsidRPr="003C6F43">
        <w:t xml:space="preserve"> kofinans</w:t>
      </w:r>
      <w:r w:rsidR="00FD174D" w:rsidRPr="003C6F43">
        <w:t>uoti</w:t>
      </w:r>
      <w:r w:rsidR="00B15BF8" w:rsidRPr="003C6F43">
        <w:t>:</w:t>
      </w:r>
      <w:r w:rsidR="001E2E83" w:rsidRPr="003C6F43">
        <w:t xml:space="preserve"> </w:t>
      </w:r>
      <w:r w:rsidR="00D47664" w:rsidRPr="003C6F43">
        <w:t>„Bendrabučio tipo pastato, esančio Kosmoso g. 28, Visagine, patalpų pritaikymas socialinio būsto įrengimui“</w:t>
      </w:r>
      <w:r w:rsidR="00EE0077" w:rsidRPr="003C6F43">
        <w:t>,</w:t>
      </w:r>
      <w:r w:rsidR="00D47664" w:rsidRPr="003C6F43">
        <w:t xml:space="preserve"> </w:t>
      </w:r>
      <w:r w:rsidR="00FD174D" w:rsidRPr="003C6F43">
        <w:t>„</w:t>
      </w:r>
      <w:r w:rsidR="00D47664" w:rsidRPr="003C6F43">
        <w:t>Visagino bendruomeniniai šeimos namai</w:t>
      </w:r>
      <w:r w:rsidR="00FD174D" w:rsidRPr="003C6F43">
        <w:t>“, „</w:t>
      </w:r>
      <w:r w:rsidR="00D47664" w:rsidRPr="003C6F43">
        <w:t>Vaikų gerovės ir saugumo didinimas, paslaugų šeimai, globėjams (rūpintojams) kokybės didinimas bei prieinamumo plėtra</w:t>
      </w:r>
      <w:r w:rsidR="00FD174D" w:rsidRPr="003C6F43">
        <w:t>“</w:t>
      </w:r>
      <w:r w:rsidR="00D47664" w:rsidRPr="003C6F43">
        <w:t>,</w:t>
      </w:r>
      <w:r w:rsidR="001E2E83" w:rsidRPr="003C6F43">
        <w:t xml:space="preserve"> „Apleisto (nenaudojamo) buvusio visuomeninio pastato konversija ir pritaikymas Savarankiško gyvenimo namų Visagine įkūrimui“, </w:t>
      </w:r>
      <w:bookmarkStart w:id="20" w:name="_Hlk30968149"/>
      <w:r w:rsidR="00FD174D" w:rsidRPr="003C6F43">
        <w:t>„</w:t>
      </w:r>
      <w:r w:rsidR="001E2E83" w:rsidRPr="003C6F43">
        <w:t>Bendruomeninių vaikų globos namų ir vaikų dienos centrų tinklo plėtra Visagino savivaldybėje</w:t>
      </w:r>
      <w:r w:rsidR="00FD174D" w:rsidRPr="003C6F43">
        <w:t>“</w:t>
      </w:r>
      <w:bookmarkEnd w:id="20"/>
      <w:r w:rsidR="001E2E83" w:rsidRPr="003C6F43">
        <w:t>,</w:t>
      </w:r>
      <w:r w:rsidR="00D47664" w:rsidRPr="003C6F43">
        <w:t xml:space="preserve"> </w:t>
      </w:r>
      <w:r w:rsidR="003C6F43" w:rsidRPr="003C6F43">
        <w:t>36,3</w:t>
      </w:r>
      <w:r w:rsidR="00214BB0" w:rsidRPr="003C6F43">
        <w:t xml:space="preserve"> tūkst. eurų numatyta pagalbai  šeimoms, globojančioms vaikus, </w:t>
      </w:r>
      <w:r w:rsidR="003C6F43" w:rsidRPr="003C6F43">
        <w:t>407,934</w:t>
      </w:r>
      <w:r w:rsidR="00214BB0" w:rsidRPr="003C6F43">
        <w:t xml:space="preserve"> tūkst. eurų socialinio būsto plėtrai, </w:t>
      </w:r>
      <w:r w:rsidR="003C6F43" w:rsidRPr="003C6F43">
        <w:t>26,8</w:t>
      </w:r>
      <w:r w:rsidR="00214BB0" w:rsidRPr="003C6F43">
        <w:t xml:space="preserve"> tūkst. eurų pasibaigus projektui </w:t>
      </w:r>
      <w:r w:rsidR="00FD174D" w:rsidRPr="003C6F43">
        <w:t>„</w:t>
      </w:r>
      <w:r w:rsidR="00214BB0" w:rsidRPr="003C6F43">
        <w:t xml:space="preserve">Padėk vaikams </w:t>
      </w:r>
      <w:r w:rsidR="00FD174D" w:rsidRPr="003C6F43">
        <w:t>–</w:t>
      </w:r>
      <w:r w:rsidR="00214BB0" w:rsidRPr="003C6F43">
        <w:t xml:space="preserve"> sustiprink šeimą</w:t>
      </w:r>
      <w:r w:rsidR="00FD174D" w:rsidRPr="003C6F43">
        <w:t>“</w:t>
      </w:r>
      <w:r w:rsidR="00214BB0" w:rsidRPr="003C6F43">
        <w:t xml:space="preserve"> veiklai užtikrinti, 20,0 </w:t>
      </w:r>
      <w:bookmarkStart w:id="21" w:name="_Hlk30967507"/>
      <w:r w:rsidR="00214BB0" w:rsidRPr="003C6F43">
        <w:t>tūkst. eurų</w:t>
      </w:r>
      <w:bookmarkEnd w:id="21"/>
      <w:r w:rsidR="00214BB0" w:rsidRPr="003C6F43">
        <w:t xml:space="preserve"> vienkartinei paramai teikti</w:t>
      </w:r>
      <w:r w:rsidR="00214BB0" w:rsidRPr="00856CB1">
        <w:t xml:space="preserve">, </w:t>
      </w:r>
      <w:r w:rsidR="00856CB1" w:rsidRPr="00856CB1">
        <w:t>7,5 tūkst. eurų socialinės reabilitacijos paslaugų neįgaliesiems projekt</w:t>
      </w:r>
      <w:r w:rsidR="003A503E">
        <w:t>ams</w:t>
      </w:r>
      <w:r w:rsidR="00856CB1" w:rsidRPr="00856CB1">
        <w:t xml:space="preserve"> kofinansavimui,</w:t>
      </w:r>
      <w:r w:rsidR="00856CB1">
        <w:t xml:space="preserve"> 16,0</w:t>
      </w:r>
      <w:r w:rsidR="00856CB1" w:rsidRPr="00856CB1">
        <w:t xml:space="preserve"> </w:t>
      </w:r>
      <w:bookmarkStart w:id="22" w:name="_Hlk30967868"/>
      <w:r w:rsidR="00856CB1" w:rsidRPr="003C6F43">
        <w:t>tūkst. eurų</w:t>
      </w:r>
      <w:r w:rsidR="00856CB1">
        <w:t xml:space="preserve"> </w:t>
      </w:r>
      <w:bookmarkEnd w:id="22"/>
      <w:r w:rsidR="00856CB1">
        <w:t>gyvenamosios aplinkos pritaikymui neįgaliesiems kofinansavimui</w:t>
      </w:r>
      <w:r w:rsidR="00856CB1" w:rsidRPr="00856CB1">
        <w:t xml:space="preserve">, 34,0 </w:t>
      </w:r>
      <w:r w:rsidR="00856CB1" w:rsidRPr="003C6F43">
        <w:t>tūkst. eurų</w:t>
      </w:r>
      <w:r w:rsidR="00856CB1">
        <w:t xml:space="preserve"> </w:t>
      </w:r>
      <w:r w:rsidR="00D24250">
        <w:t xml:space="preserve">paramai </w:t>
      </w:r>
      <w:r w:rsidR="00856CB1" w:rsidRPr="00D24250">
        <w:t>šeimoms</w:t>
      </w:r>
      <w:r w:rsidR="00856CB1">
        <w:t xml:space="preserve">, </w:t>
      </w:r>
      <w:r w:rsidR="00856CB1" w:rsidRPr="00856CB1">
        <w:t>l</w:t>
      </w:r>
      <w:r w:rsidR="00EE0077" w:rsidRPr="00856CB1">
        <w:t xml:space="preserve">ėšų numatyta </w:t>
      </w:r>
      <w:r w:rsidR="00214BB0" w:rsidRPr="00856CB1">
        <w:t xml:space="preserve">ir </w:t>
      </w:r>
      <w:r w:rsidR="00856CB1" w:rsidRPr="00856CB1">
        <w:t>kit</w:t>
      </w:r>
      <w:r w:rsidR="003A503E">
        <w:t>oms</w:t>
      </w:r>
      <w:r w:rsidR="00856CB1" w:rsidRPr="00856CB1">
        <w:t xml:space="preserve"> </w:t>
      </w:r>
      <w:r w:rsidR="00214BB0" w:rsidRPr="00856CB1">
        <w:t>skirting</w:t>
      </w:r>
      <w:r w:rsidR="003A503E">
        <w:t>oms</w:t>
      </w:r>
      <w:r w:rsidR="00214BB0" w:rsidRPr="00856CB1">
        <w:t xml:space="preserve"> </w:t>
      </w:r>
      <w:r w:rsidR="00EE0077" w:rsidRPr="00856CB1">
        <w:t>socialin</w:t>
      </w:r>
      <w:r w:rsidR="003A503E">
        <w:t xml:space="preserve">ėms </w:t>
      </w:r>
      <w:r w:rsidR="00EE0077" w:rsidRPr="00856CB1">
        <w:t>program</w:t>
      </w:r>
      <w:r w:rsidR="003A503E">
        <w:t>oms</w:t>
      </w:r>
      <w:r w:rsidR="00EE0077" w:rsidRPr="00856CB1">
        <w:t xml:space="preserve"> ir priemon</w:t>
      </w:r>
      <w:r w:rsidR="003A503E">
        <w:t>ėms</w:t>
      </w:r>
      <w:r w:rsidR="00EE0077" w:rsidRPr="00856CB1">
        <w:t xml:space="preserve"> vykdy</w:t>
      </w:r>
      <w:r w:rsidR="003A503E">
        <w:t>t</w:t>
      </w:r>
      <w:r w:rsidR="00EE0077" w:rsidRPr="00856CB1">
        <w:t>i.</w:t>
      </w:r>
    </w:p>
    <w:p w14:paraId="19EF0DF6" w14:textId="77777777" w:rsidR="00DE4D1D" w:rsidRPr="00AD50EF" w:rsidRDefault="00DE4D1D" w:rsidP="001E2E83">
      <w:pPr>
        <w:ind w:firstLine="1296"/>
        <w:jc w:val="both"/>
        <w:rPr>
          <w:b/>
        </w:rPr>
      </w:pPr>
      <w:r w:rsidRPr="00CE4881">
        <w:rPr>
          <w:b/>
        </w:rPr>
        <w:t xml:space="preserve">Sveikatos apsaugos paslaugų kokybės gerinimo programai </w:t>
      </w:r>
      <w:r w:rsidRPr="00CE4881">
        <w:t xml:space="preserve">– </w:t>
      </w:r>
      <w:r w:rsidR="00CE4881" w:rsidRPr="00CE4881">
        <w:t>215,267</w:t>
      </w:r>
      <w:r w:rsidRPr="00CE4881">
        <w:t xml:space="preserve"> tūkst. eurų,</w:t>
      </w:r>
      <w:r w:rsidR="00CE4881" w:rsidRPr="00CE4881">
        <w:t xml:space="preserve"> </w:t>
      </w:r>
      <w:r w:rsidR="00AD50EF" w:rsidRPr="00CE4881">
        <w:t>157,3</w:t>
      </w:r>
      <w:r w:rsidRPr="00CE4881">
        <w:t xml:space="preserve"> </w:t>
      </w:r>
      <w:r w:rsidR="00AD50EF" w:rsidRPr="00CE4881">
        <w:t>tūkst. eurų skirta</w:t>
      </w:r>
      <w:r w:rsidRPr="00CE4881">
        <w:t xml:space="preserve"> valstybės (perduoto</w:t>
      </w:r>
      <w:r w:rsidR="00FD174D" w:rsidRPr="00CE4881">
        <w:t>m</w:t>
      </w:r>
      <w:r w:rsidRPr="00CE4881">
        <w:t>s savivaldybėms) funkcijoms vykdyti, iš jų visuomenės sveikatos priežiūros funkcijoms vykdyti, 23,</w:t>
      </w:r>
      <w:r w:rsidR="00AD50EF" w:rsidRPr="00CE4881">
        <w:t>9</w:t>
      </w:r>
      <w:r w:rsidRPr="00CE4881">
        <w:t xml:space="preserve"> tūkst. eurų naujai funkcijai </w:t>
      </w:r>
      <w:r w:rsidR="00343498" w:rsidRPr="00CE4881">
        <w:t>–</w:t>
      </w:r>
      <w:r w:rsidR="00FD174D" w:rsidRPr="00CE4881">
        <w:t xml:space="preserve"> </w:t>
      </w:r>
      <w:r w:rsidR="00343498" w:rsidRPr="00CE4881">
        <w:t>u</w:t>
      </w:r>
      <w:r w:rsidRPr="00CE4881">
        <w:t xml:space="preserve">žtikrinti savižudybių prevencijos prioritetų nustatymą ilgojo ir trumpojo laikotarpių savižudybių prevencijos </w:t>
      </w:r>
      <w:r w:rsidRPr="004116D3">
        <w:t xml:space="preserve">priemonių ir </w:t>
      </w:r>
      <w:r w:rsidR="00FD174D" w:rsidRPr="004116D3">
        <w:t>joms įgyvendinti reikiamo finansavimo planavim</w:t>
      </w:r>
      <w:r w:rsidR="003A503E" w:rsidRPr="004116D3">
        <w:t>ui</w:t>
      </w:r>
      <w:r w:rsidR="00FD174D" w:rsidRPr="004116D3">
        <w:t xml:space="preserve"> įgyvendinti</w:t>
      </w:r>
      <w:r w:rsidR="00343498" w:rsidRPr="004116D3">
        <w:t>.</w:t>
      </w:r>
      <w:r w:rsidR="00343498" w:rsidRPr="00AD50EF">
        <w:t xml:space="preserve"> </w:t>
      </w:r>
      <w:r w:rsidR="00AD50EF" w:rsidRPr="00AD50EF">
        <w:t>11,270</w:t>
      </w:r>
      <w:r w:rsidR="00343498" w:rsidRPr="00AD50EF">
        <w:t xml:space="preserve"> tūkst. eurų skirta</w:t>
      </w:r>
      <w:r w:rsidR="006965D0" w:rsidRPr="00AD50EF">
        <w:t xml:space="preserve"> savivaldybės sveikatos programoms iš aplinkos apsaugos specialiosios programos lėšų fin</w:t>
      </w:r>
      <w:r w:rsidR="00FD174D" w:rsidRPr="00AD50EF">
        <w:t>a</w:t>
      </w:r>
      <w:r w:rsidR="006965D0" w:rsidRPr="00AD50EF">
        <w:t>ns</w:t>
      </w:r>
      <w:r w:rsidR="00FD174D" w:rsidRPr="00AD50EF">
        <w:t>uot</w:t>
      </w:r>
      <w:r w:rsidR="006965D0" w:rsidRPr="00AD50EF">
        <w:t>i.</w:t>
      </w:r>
      <w:r w:rsidR="00343498" w:rsidRPr="00AD50EF">
        <w:t xml:space="preserve"> </w:t>
      </w:r>
      <w:r w:rsidR="00AD50EF" w:rsidRPr="00AD50EF">
        <w:t>27,777</w:t>
      </w:r>
      <w:r w:rsidR="00343498" w:rsidRPr="00AD50EF">
        <w:t xml:space="preserve"> tūkst. eurų iš savivaldybės biudžeto lėšų numatyta </w:t>
      </w:r>
      <w:r w:rsidR="00B15BF8" w:rsidRPr="00AD50EF">
        <w:t xml:space="preserve">skirti </w:t>
      </w:r>
      <w:r w:rsidR="00AD50EF" w:rsidRPr="00AD50EF">
        <w:t>projektui „Ikimokyklinio ir mokyklinio ugdymo įstaigų sveikatos kabinetų aprūpinimas metodinėmis priemonėmis“ įgyvendin</w:t>
      </w:r>
      <w:r w:rsidR="003A503E">
        <w:t>t</w:t>
      </w:r>
      <w:r w:rsidR="00AD50EF" w:rsidRPr="00AD50EF">
        <w:t>i.</w:t>
      </w:r>
    </w:p>
    <w:p w14:paraId="02F74A72" w14:textId="77777777" w:rsidR="00734294" w:rsidRPr="00A57235" w:rsidRDefault="0058118B" w:rsidP="00734294">
      <w:pPr>
        <w:ind w:firstLine="1296"/>
        <w:jc w:val="both"/>
        <w:rPr>
          <w:highlight w:val="yellow"/>
        </w:rPr>
      </w:pPr>
      <w:r w:rsidRPr="00CE4881">
        <w:rPr>
          <w:b/>
        </w:rPr>
        <w:t>Aplinkos apsaugos programai</w:t>
      </w:r>
      <w:r w:rsidRPr="00CE4881">
        <w:t xml:space="preserve"> </w:t>
      </w:r>
      <w:r w:rsidR="00AC4561" w:rsidRPr="00CE4881">
        <w:t>–</w:t>
      </w:r>
      <w:r w:rsidRPr="00CE4881">
        <w:t xml:space="preserve"> </w:t>
      </w:r>
      <w:r w:rsidR="00CE4881" w:rsidRPr="00CE4881">
        <w:t>2844,782</w:t>
      </w:r>
      <w:r w:rsidR="00343498" w:rsidRPr="00CE4881">
        <w:t xml:space="preserve"> tūkst. e</w:t>
      </w:r>
      <w:r w:rsidR="00783CE7" w:rsidRPr="00CE4881">
        <w:t>ur</w:t>
      </w:r>
      <w:r w:rsidR="00343498" w:rsidRPr="00CE4881">
        <w:t>ų</w:t>
      </w:r>
      <w:r w:rsidR="00A57ED0" w:rsidRPr="00CE4881">
        <w:t>,</w:t>
      </w:r>
      <w:r w:rsidR="00734294" w:rsidRPr="00CE4881">
        <w:t xml:space="preserve"> iš jų </w:t>
      </w:r>
      <w:r w:rsidR="00CE4881" w:rsidRPr="00CE4881">
        <w:t>930,397</w:t>
      </w:r>
      <w:r w:rsidR="00343498" w:rsidRPr="00CE4881">
        <w:t xml:space="preserve"> tūkst.</w:t>
      </w:r>
      <w:r w:rsidR="00734294" w:rsidRPr="00CE4881">
        <w:t xml:space="preserve"> eurų darbo užmokesčiui</w:t>
      </w:r>
      <w:r w:rsidR="00B15BF8" w:rsidRPr="00CE4881">
        <w:t xml:space="preserve"> ir </w:t>
      </w:r>
      <w:r w:rsidR="00CE4881" w:rsidRPr="00CE4881">
        <w:t>213,854</w:t>
      </w:r>
      <w:r w:rsidR="00B15BF8" w:rsidRPr="00CE4881">
        <w:t xml:space="preserve"> tūkst. eurų turtui įsigyti</w:t>
      </w:r>
      <w:r w:rsidR="002C46A2" w:rsidRPr="00D24250">
        <w:t xml:space="preserve">. </w:t>
      </w:r>
      <w:r w:rsidR="006965D0" w:rsidRPr="00D24250">
        <w:t>D</w:t>
      </w:r>
      <w:r w:rsidR="002C46A2" w:rsidRPr="00D24250">
        <w:t>idėja</w:t>
      </w:r>
      <w:r w:rsidR="00734294" w:rsidRPr="00D24250">
        <w:t xml:space="preserve"> </w:t>
      </w:r>
      <w:r w:rsidR="006965D0" w:rsidRPr="00D24250">
        <w:t xml:space="preserve">skiriamos lėšos </w:t>
      </w:r>
      <w:r w:rsidR="00734294" w:rsidRPr="00D24250">
        <w:t>atliekų tv</w:t>
      </w:r>
      <w:r w:rsidR="002C46A2" w:rsidRPr="00D24250">
        <w:t>arkymo rinkliavos administravim</w:t>
      </w:r>
      <w:r w:rsidR="00FD174D" w:rsidRPr="00D24250">
        <w:t>ui</w:t>
      </w:r>
      <w:r w:rsidR="00734294" w:rsidRPr="00D24250">
        <w:t xml:space="preserve">, </w:t>
      </w:r>
      <w:r w:rsidR="006965D0" w:rsidRPr="00D24250">
        <w:t>aplinkos tvarkymo tarnyb</w:t>
      </w:r>
      <w:r w:rsidR="00FD174D" w:rsidRPr="00D24250">
        <w:t>ai</w:t>
      </w:r>
      <w:r w:rsidR="006965D0" w:rsidRPr="00D24250">
        <w:t xml:space="preserve"> skiriamos lėšos dėl darbuotojų darbo užmokesčio padidėjim</w:t>
      </w:r>
      <w:r w:rsidR="001C0C52" w:rsidRPr="00D24250">
        <w:t>o</w:t>
      </w:r>
      <w:r w:rsidR="006965D0" w:rsidRPr="00D24250">
        <w:t>. B</w:t>
      </w:r>
      <w:r w:rsidR="00734294" w:rsidRPr="00D24250">
        <w:t xml:space="preserve">us tęsiamas projektas </w:t>
      </w:r>
      <w:bookmarkStart w:id="23" w:name="_Hlk505263945"/>
      <w:r w:rsidR="00734294" w:rsidRPr="00D24250">
        <w:t>„</w:t>
      </w:r>
      <w:bookmarkEnd w:id="23"/>
      <w:r w:rsidR="00734294" w:rsidRPr="00D24250">
        <w:t>Komunalinių</w:t>
      </w:r>
      <w:r w:rsidR="00734294" w:rsidRPr="00AD50EF">
        <w:t xml:space="preserve"> atliekų tvarkymo infrastruktūros plėtra Visagino savivald</w:t>
      </w:r>
      <w:r w:rsidR="002C46A2" w:rsidRPr="00AD50EF">
        <w:t>ybėje“</w:t>
      </w:r>
      <w:r w:rsidR="00AD50EF" w:rsidRPr="00AD50EF">
        <w:t xml:space="preserve"> ir</w:t>
      </w:r>
      <w:r w:rsidR="00734294" w:rsidRPr="00AD50EF">
        <w:t xml:space="preserve"> projektas „Visagino savivaldybės rekreacinės paskirties plotų tvarkymas, užtikrinant kraštovaizdžio ekologinę pusia</w:t>
      </w:r>
      <w:r w:rsidR="002C46A2" w:rsidRPr="00AD50EF">
        <w:t>usvyrą“</w:t>
      </w:r>
      <w:r w:rsidR="00734294" w:rsidRPr="00AD50EF">
        <w:t>.</w:t>
      </w:r>
      <w:r w:rsidR="00CD01A7" w:rsidRPr="00AD50EF">
        <w:t xml:space="preserve"> </w:t>
      </w:r>
      <w:r w:rsidR="00AD50EF" w:rsidRPr="00BB3B31">
        <w:t>20</w:t>
      </w:r>
      <w:r w:rsidR="00CD01A7" w:rsidRPr="00BB3B31">
        <w:t xml:space="preserve">,0 tūkst. eurų numatyta gyvūnų globos, saugojimo ir populiacijos kontrolei, </w:t>
      </w:r>
      <w:r w:rsidR="00AD50EF" w:rsidRPr="00BB3B31">
        <w:t xml:space="preserve">13,9 </w:t>
      </w:r>
      <w:bookmarkStart w:id="24" w:name="_Hlk30968761"/>
      <w:r w:rsidR="00AD50EF" w:rsidRPr="00BB3B31">
        <w:t xml:space="preserve">tūkst. eurų </w:t>
      </w:r>
      <w:bookmarkEnd w:id="24"/>
      <w:r w:rsidR="00BB3B31" w:rsidRPr="00BB3B31">
        <w:t>tekstilės atliekų konteinerių tuštinimo paslaugai, 19,0 tūkst. eurų užterš</w:t>
      </w:r>
      <w:r w:rsidR="003A503E">
        <w:t>tos</w:t>
      </w:r>
      <w:r w:rsidR="00BB3B31" w:rsidRPr="00BB3B31">
        <w:t xml:space="preserve"> teritorijos valymui, </w:t>
      </w:r>
      <w:r w:rsidR="00B15BF8" w:rsidRPr="00BB3B31">
        <w:t xml:space="preserve">90,0 tūkst. eurų </w:t>
      </w:r>
      <w:r w:rsidR="00CD01A7" w:rsidRPr="00BB3B31">
        <w:t>individualių namų kvartalo įrengimui numatyt</w:t>
      </w:r>
      <w:r w:rsidR="001C0C52" w:rsidRPr="00BB3B31">
        <w:t>ai</w:t>
      </w:r>
      <w:r w:rsidR="00CD01A7" w:rsidRPr="00BB3B31">
        <w:t xml:space="preserve"> teritorij</w:t>
      </w:r>
      <w:r w:rsidR="001C0C52" w:rsidRPr="00BB3B31">
        <w:t>ai</w:t>
      </w:r>
      <w:r w:rsidR="00CD01A7" w:rsidRPr="00BB3B31">
        <w:t xml:space="preserve"> išmiškin</w:t>
      </w:r>
      <w:r w:rsidR="001C0C52" w:rsidRPr="00BB3B31">
        <w:t>t</w:t>
      </w:r>
      <w:r w:rsidR="00CD01A7" w:rsidRPr="00BB3B31">
        <w:t>i</w:t>
      </w:r>
      <w:r w:rsidR="00B15BF8" w:rsidRPr="00BB3B31">
        <w:t xml:space="preserve"> ir kitoms priemonėms vykdyti</w:t>
      </w:r>
      <w:r w:rsidR="00CD01A7" w:rsidRPr="00BB3B31">
        <w:t>.</w:t>
      </w:r>
    </w:p>
    <w:p w14:paraId="63EFB41B" w14:textId="77777777" w:rsidR="00734294" w:rsidRPr="009C5C82" w:rsidRDefault="0058118B" w:rsidP="00CD01A7">
      <w:pPr>
        <w:ind w:firstLine="1296"/>
        <w:jc w:val="both"/>
      </w:pPr>
      <w:r w:rsidRPr="00385D90">
        <w:rPr>
          <w:b/>
        </w:rPr>
        <w:t>Savivaldybės ekonominės plėtros programai</w:t>
      </w:r>
      <w:r w:rsidRPr="00385D90">
        <w:t xml:space="preserve"> </w:t>
      </w:r>
      <w:r w:rsidR="00AC4561" w:rsidRPr="00385D90">
        <w:t>–</w:t>
      </w:r>
      <w:r w:rsidRPr="00385D90">
        <w:t xml:space="preserve"> </w:t>
      </w:r>
      <w:r w:rsidR="00385D90" w:rsidRPr="00385D90">
        <w:t>2892,273</w:t>
      </w:r>
      <w:r w:rsidR="006965D0" w:rsidRPr="00385D90">
        <w:t xml:space="preserve"> tūkst</w:t>
      </w:r>
      <w:r w:rsidR="00CD01A7" w:rsidRPr="00385D90">
        <w:t>.</w:t>
      </w:r>
      <w:r w:rsidR="002C46A2" w:rsidRPr="00385D90">
        <w:t xml:space="preserve"> eurų</w:t>
      </w:r>
      <w:r w:rsidR="00B15BF8" w:rsidRPr="00385D90">
        <w:t xml:space="preserve">, </w:t>
      </w:r>
      <w:r w:rsidR="00385D90" w:rsidRPr="00385D90">
        <w:t>arba 888,320 tūkst. eurų daugiau negu 2019 patikslintam</w:t>
      </w:r>
      <w:r w:rsidR="003A503E">
        <w:t>e</w:t>
      </w:r>
      <w:r w:rsidR="00385D90" w:rsidRPr="00385D90">
        <w:t xml:space="preserve"> biudžete</w:t>
      </w:r>
      <w:r w:rsidR="00B15BF8" w:rsidRPr="00385D90">
        <w:t>.</w:t>
      </w:r>
      <w:r w:rsidR="00385D90" w:rsidRPr="00385D90">
        <w:t xml:space="preserve"> Didėja iš savivaldybės biudžeto savarankiškoms funkcijoms vykdyti lėšų poreikis projektų kofinansavimui</w:t>
      </w:r>
      <w:r w:rsidR="00385D90">
        <w:t>.</w:t>
      </w:r>
      <w:r w:rsidR="00B15BF8" w:rsidRPr="00385D90">
        <w:t xml:space="preserve"> </w:t>
      </w:r>
      <w:bookmarkStart w:id="25" w:name="_Hlk30971200"/>
      <w:r w:rsidR="00734294" w:rsidRPr="00385D90">
        <w:t>Numatyt</w:t>
      </w:r>
      <w:r w:rsidR="00BB3B31" w:rsidRPr="00385D90">
        <w:t>a 1126,652 tūkst. eurų iš</w:t>
      </w:r>
      <w:r w:rsidR="003162FF" w:rsidRPr="00385D90">
        <w:t xml:space="preserve"> </w:t>
      </w:r>
      <w:r w:rsidR="00BB3B31" w:rsidRPr="00385D90">
        <w:t>Savivaldybės biudžeto lėšų ir 615,0 tūkst. eurų iš Valstybės</w:t>
      </w:r>
      <w:r w:rsidR="00BB3B31" w:rsidRPr="00EC3328">
        <w:t xml:space="preserve"> biudžeto lėšų </w:t>
      </w:r>
      <w:bookmarkStart w:id="26" w:name="_Hlk505264054"/>
      <w:r w:rsidR="003A503E">
        <w:t>tęsiamiems</w:t>
      </w:r>
      <w:r w:rsidR="00483B1E" w:rsidRPr="00EC3328">
        <w:t xml:space="preserve"> </w:t>
      </w:r>
      <w:r w:rsidR="002C46A2" w:rsidRPr="00EC3328">
        <w:t xml:space="preserve">projektams </w:t>
      </w:r>
      <w:bookmarkEnd w:id="25"/>
      <w:bookmarkEnd w:id="26"/>
      <w:r w:rsidR="003162FF" w:rsidRPr="00483B1E">
        <w:t>„Apleistų / avarinių pastatų nugriovimas ir teritorijos valymas, regeneruojant buvusį karinį miestelį ir pritaikant kompleksą inovatyviai pramonei vystyti – SMART PARK įkūrimui“,</w:t>
      </w:r>
      <w:r w:rsidR="00CD01A7" w:rsidRPr="00483B1E">
        <w:t xml:space="preserve"> </w:t>
      </w:r>
      <w:r w:rsidR="001C0C52" w:rsidRPr="00483B1E">
        <w:t>i</w:t>
      </w:r>
      <w:r w:rsidR="00CD01A7" w:rsidRPr="00483B1E">
        <w:t>nvesticijo</w:t>
      </w:r>
      <w:r w:rsidR="00B15BF8" w:rsidRPr="00483B1E">
        <w:t>m</w:t>
      </w:r>
      <w:r w:rsidR="00CD01A7" w:rsidRPr="00483B1E">
        <w:t>s į Visagine kuriamo pramoninio parko (SMART PARK) inžinerinius tinklus ir susisiekimo komunikacijas bei pramoninio parko rinkodara (dujotiekis, internetas, kelias),</w:t>
      </w:r>
      <w:r w:rsidR="00734294" w:rsidRPr="00483B1E">
        <w:t xml:space="preserve"> </w:t>
      </w:r>
      <w:r w:rsidR="003162FF" w:rsidRPr="00483B1E">
        <w:t xml:space="preserve">„Irklavimo bazės įrengimas Visagino ežero pakrantėje“, „Rytų Aukštaitijos miestai ir miesteliai </w:t>
      </w:r>
      <w:r w:rsidR="002C46A2" w:rsidRPr="00483B1E">
        <w:t>–</w:t>
      </w:r>
      <w:r w:rsidR="003162FF" w:rsidRPr="00483B1E">
        <w:t xml:space="preserve"> informavimo apie lankytinas vietas sti</w:t>
      </w:r>
      <w:r w:rsidR="002C46A2" w:rsidRPr="00483B1E">
        <w:t>prinimas ženklinimo priemonėmis“</w:t>
      </w:r>
      <w:r w:rsidR="003162FF" w:rsidRPr="00483B1E">
        <w:t xml:space="preserve">, LLI - 386 TRANS-FORM (pilnas pavadinimas </w:t>
      </w:r>
      <w:r w:rsidR="002C46A2" w:rsidRPr="00483B1E">
        <w:t>„</w:t>
      </w:r>
      <w:r w:rsidR="003162FF" w:rsidRPr="00483B1E">
        <w:t xml:space="preserve">Transformations from Slum to Chic, Transformacija iš </w:t>
      </w:r>
      <w:r w:rsidR="002C46A2" w:rsidRPr="00483B1E">
        <w:t>griuvė</w:t>
      </w:r>
      <w:r w:rsidR="003162FF" w:rsidRPr="00483B1E">
        <w:t xml:space="preserve">sių </w:t>
      </w:r>
      <w:r w:rsidR="002C46A2" w:rsidRPr="00483B1E">
        <w:t>į</w:t>
      </w:r>
      <w:r w:rsidR="003162FF" w:rsidRPr="00483B1E">
        <w:t xml:space="preserve"> gražią erdvę</w:t>
      </w:r>
      <w:r w:rsidR="002C46A2" w:rsidRPr="00483B1E">
        <w:t>“</w:t>
      </w:r>
      <w:r w:rsidR="003162FF" w:rsidRPr="00483B1E">
        <w:t>)</w:t>
      </w:r>
      <w:r w:rsidR="001C0C52" w:rsidRPr="00483B1E">
        <w:t>,</w:t>
      </w:r>
      <w:r w:rsidR="003162FF" w:rsidRPr="00483B1E">
        <w:t xml:space="preserve"> </w:t>
      </w:r>
      <w:r w:rsidR="00CD01A7" w:rsidRPr="00483B1E">
        <w:t>„Viešosios infrastruktūros sutvarkymas, pritaikant ją rekreacinei žvejybai“</w:t>
      </w:r>
      <w:r w:rsidR="00483B1E" w:rsidRPr="00483B1E">
        <w:t xml:space="preserve"> ir naujoms  „Bendrojo naudojimo inžinerinės infrastruktūros įrengimas, buvusioje IAE industrinėje bazėje", „Visagino inovacijų klasteris</w:t>
      </w:r>
      <w:bookmarkStart w:id="27" w:name="_Hlk30969637"/>
      <w:r w:rsidR="00483B1E" w:rsidRPr="00483B1E">
        <w:t>“</w:t>
      </w:r>
      <w:bookmarkEnd w:id="27"/>
      <w:r w:rsidR="00483B1E" w:rsidRPr="00483B1E">
        <w:t xml:space="preserve">, „Esamo gamtinio ir kultūrinio paveldo populiarinimas per turizmo paslaugų plėtrą Lietuvos ir Latvijos pasienio regionuose“ ir kitų </w:t>
      </w:r>
      <w:r w:rsidR="00CD01A7" w:rsidRPr="00483B1E">
        <w:t>įgyvendinim</w:t>
      </w:r>
      <w:r w:rsidR="001C0C52" w:rsidRPr="00483B1E">
        <w:t>ui</w:t>
      </w:r>
      <w:r w:rsidR="00CD01A7" w:rsidRPr="00483B1E">
        <w:t xml:space="preserve"> </w:t>
      </w:r>
      <w:r w:rsidR="00734294" w:rsidRPr="00483B1E">
        <w:t>kofinans</w:t>
      </w:r>
      <w:r w:rsidR="002C46A2" w:rsidRPr="00483B1E">
        <w:t>uoti</w:t>
      </w:r>
      <w:r w:rsidR="003162FF" w:rsidRPr="009C5C82">
        <w:t>.</w:t>
      </w:r>
      <w:r w:rsidR="00CD01A7" w:rsidRPr="009C5C82">
        <w:t xml:space="preserve"> </w:t>
      </w:r>
      <w:r w:rsidR="00483B1E" w:rsidRPr="009C5C82">
        <w:t>16,2</w:t>
      </w:r>
      <w:r w:rsidR="00CD01A7" w:rsidRPr="009C5C82">
        <w:t xml:space="preserve"> tūkst. eurų numatyta verslo skatinim</w:t>
      </w:r>
      <w:r w:rsidR="001A3AE4" w:rsidRPr="009C5C82">
        <w:t>o</w:t>
      </w:r>
      <w:r w:rsidR="00CD01A7" w:rsidRPr="009C5C82">
        <w:t xml:space="preserve"> ir investicijų pritraukim</w:t>
      </w:r>
      <w:r w:rsidR="001A3AE4" w:rsidRPr="009C5C82">
        <w:t xml:space="preserve">o programoms finansuoti, </w:t>
      </w:r>
      <w:r w:rsidR="00483B1E" w:rsidRPr="009C5C82">
        <w:t>104,2</w:t>
      </w:r>
      <w:r w:rsidR="001A3AE4" w:rsidRPr="009C5C82">
        <w:t xml:space="preserve"> </w:t>
      </w:r>
      <w:bookmarkStart w:id="28" w:name="_Hlk30969882"/>
      <w:r w:rsidR="001A3AE4" w:rsidRPr="009C5C82">
        <w:t xml:space="preserve">tūkst. eurų </w:t>
      </w:r>
      <w:bookmarkEnd w:id="28"/>
      <w:r w:rsidR="001A3AE4" w:rsidRPr="009C5C82">
        <w:t>užimtumo didinimo programai įgyvendinti,</w:t>
      </w:r>
      <w:r w:rsidR="00483B1E" w:rsidRPr="009C5C82">
        <w:t xml:space="preserve"> 83,3 tūkst. eurų</w:t>
      </w:r>
      <w:r w:rsidR="001A0A6F" w:rsidRPr="009C5C82">
        <w:t xml:space="preserve"> užimtumo skatinimo ir motyvavimo paslaugų nedirbantiems ir socialinę paramą gaunantiems asmenims modeliui įgyvendinti, 115,0 tūkst. eurų verslo plėtros sąlygoms gerinti,</w:t>
      </w:r>
      <w:r w:rsidR="001A3AE4" w:rsidRPr="009C5C82">
        <w:t xml:space="preserve"> 30,0 tūkst. eurų smulk</w:t>
      </w:r>
      <w:r w:rsidR="001C0C52" w:rsidRPr="009C5C82">
        <w:t xml:space="preserve">iojo ir </w:t>
      </w:r>
      <w:r w:rsidR="001A3AE4" w:rsidRPr="009C5C82">
        <w:t xml:space="preserve">vidutinio verslo plėtros programai, </w:t>
      </w:r>
      <w:r w:rsidR="00483B1E" w:rsidRPr="009C5C82">
        <w:t>16,105</w:t>
      </w:r>
      <w:r w:rsidR="001A3AE4" w:rsidRPr="009C5C82">
        <w:t xml:space="preserve"> tūkst. eurų teritorijų planavimo dokument</w:t>
      </w:r>
      <w:r w:rsidR="001C0C52" w:rsidRPr="009C5C82">
        <w:t>ams</w:t>
      </w:r>
      <w:r w:rsidR="001A3AE4" w:rsidRPr="009C5C82">
        <w:t xml:space="preserve"> </w:t>
      </w:r>
      <w:r w:rsidR="00483B1E" w:rsidRPr="009C5C82">
        <w:t xml:space="preserve">ir žemės sklypų planų </w:t>
      </w:r>
      <w:r w:rsidR="001A3AE4" w:rsidRPr="009C5C82">
        <w:t xml:space="preserve">parengimui, </w:t>
      </w:r>
      <w:r w:rsidR="00483B1E" w:rsidRPr="009C5C82">
        <w:t>40</w:t>
      </w:r>
      <w:r w:rsidR="001A3AE4" w:rsidRPr="009C5C82">
        <w:t xml:space="preserve">,0 tūkst. eurų miesto kraštovaizdžio formavimui ir įprasminimui, </w:t>
      </w:r>
      <w:r w:rsidR="00483B1E" w:rsidRPr="009C5C82">
        <w:t>31,0</w:t>
      </w:r>
      <w:r w:rsidR="001A3AE4" w:rsidRPr="009C5C82">
        <w:t xml:space="preserve"> tūkst. eurų turizmo vystymui</w:t>
      </w:r>
      <w:r w:rsidR="00B15BF8" w:rsidRPr="009C5C82">
        <w:t xml:space="preserve"> ir kitoms veikloms.</w:t>
      </w:r>
      <w:r w:rsidR="001A3AE4" w:rsidRPr="009C5C82">
        <w:t xml:space="preserve"> </w:t>
      </w:r>
    </w:p>
    <w:p w14:paraId="7DDD4E97" w14:textId="2457A184" w:rsidR="007D5E87" w:rsidRDefault="0058118B" w:rsidP="007C1D26">
      <w:pPr>
        <w:ind w:firstLine="1296"/>
        <w:jc w:val="both"/>
      </w:pPr>
      <w:r w:rsidRPr="00385D90">
        <w:rPr>
          <w:b/>
        </w:rPr>
        <w:lastRenderedPageBreak/>
        <w:t>Viešosios infrastruktūros plėtros programai</w:t>
      </w:r>
      <w:r w:rsidRPr="00385D90">
        <w:t xml:space="preserve"> </w:t>
      </w:r>
      <w:r w:rsidR="00AC4561" w:rsidRPr="00385D90">
        <w:t>–</w:t>
      </w:r>
      <w:r w:rsidRPr="00385D90">
        <w:t xml:space="preserve"> </w:t>
      </w:r>
      <w:r w:rsidR="00385D90" w:rsidRPr="00385D90">
        <w:t>5234,526</w:t>
      </w:r>
      <w:r w:rsidR="001A3AE4" w:rsidRPr="00385D90">
        <w:t xml:space="preserve"> tūkst. eurų</w:t>
      </w:r>
      <w:r w:rsidR="00A57ED0" w:rsidRPr="00385D90">
        <w:t>,</w:t>
      </w:r>
      <w:r w:rsidR="00783CE7" w:rsidRPr="00385D90">
        <w:t xml:space="preserve"> </w:t>
      </w:r>
      <w:r w:rsidR="001A3AE4" w:rsidRPr="00385D90">
        <w:t xml:space="preserve">iš jų </w:t>
      </w:r>
      <w:r w:rsidR="00385D90" w:rsidRPr="00385D90">
        <w:t>1616,868</w:t>
      </w:r>
      <w:r w:rsidR="00786EC8" w:rsidRPr="00385D90">
        <w:t xml:space="preserve"> tūkst. eurų išlaidoms ir </w:t>
      </w:r>
      <w:r w:rsidR="00385D90" w:rsidRPr="00385D90">
        <w:t>3617,658</w:t>
      </w:r>
      <w:r w:rsidR="00786EC8" w:rsidRPr="00385D90">
        <w:t xml:space="preserve"> tūkst. eurų turtui įsigyti. </w:t>
      </w:r>
      <w:bookmarkStart w:id="29" w:name="_Hlk31059536"/>
      <w:r w:rsidR="004116D3" w:rsidRPr="004116D3">
        <w:t>Didėja iš savivaldybės biudžeto savarankiškoms funkcijoms vykdyti lėšų poreikis</w:t>
      </w:r>
      <w:bookmarkEnd w:id="29"/>
      <w:r w:rsidR="004116D3" w:rsidRPr="004116D3">
        <w:t xml:space="preserve">, kuris 2020 m. išaugo ir sudaro: 113,150 tūkst. eurų asignavimu, skirtu kompensacijoms lengvatiniam keleivių vežimui, keleivių vežimo nuostolių kompensavimui ir lengvatinių mokinių pavėžėjimui, 178,2 tūkst. eurų gatvių apšvietimo ir elektros tinklų priežiūrai ir remontui. </w:t>
      </w:r>
      <w:r w:rsidR="00786EC8" w:rsidRPr="004116D3">
        <w:t xml:space="preserve"> </w:t>
      </w:r>
      <w:r w:rsidR="009C5C82" w:rsidRPr="004116D3">
        <w:t>135,0</w:t>
      </w:r>
      <w:r w:rsidR="00786EC8" w:rsidRPr="004116D3">
        <w:t xml:space="preserve"> </w:t>
      </w:r>
      <w:bookmarkStart w:id="30" w:name="_Hlk30970412"/>
      <w:r w:rsidR="00786EC8" w:rsidRPr="004116D3">
        <w:t xml:space="preserve">tūkst. eurų </w:t>
      </w:r>
      <w:bookmarkEnd w:id="30"/>
      <w:r w:rsidR="00786EC8" w:rsidRPr="004116D3">
        <w:t>numatyta auto</w:t>
      </w:r>
      <w:r w:rsidR="00786EC8" w:rsidRPr="009C5C82">
        <w:t>mobi</w:t>
      </w:r>
      <w:r w:rsidR="0008752E" w:rsidRPr="009C5C82">
        <w:t>l</w:t>
      </w:r>
      <w:r w:rsidR="00786EC8" w:rsidRPr="009C5C82">
        <w:t xml:space="preserve">ių stovėjimo </w:t>
      </w:r>
      <w:r w:rsidR="0008752E" w:rsidRPr="009C5C82">
        <w:t>aikšteli</w:t>
      </w:r>
      <w:r w:rsidR="001C0C52" w:rsidRPr="009C5C82">
        <w:t>ų</w:t>
      </w:r>
      <w:r w:rsidR="009C5C82" w:rsidRPr="009C5C82">
        <w:t xml:space="preserve"> techninių projektų pirkimui ir</w:t>
      </w:r>
      <w:r w:rsidR="00786EC8" w:rsidRPr="009C5C82">
        <w:t xml:space="preserve"> įrengimui</w:t>
      </w:r>
      <w:r w:rsidR="009C5C82">
        <w:t xml:space="preserve">, 115,280 </w:t>
      </w:r>
      <w:r w:rsidR="009C5C82" w:rsidRPr="009C5C82">
        <w:t>tūkst. eurų</w:t>
      </w:r>
      <w:r w:rsidR="009C5C82">
        <w:t xml:space="preserve"> kelių remontui skirtų iš </w:t>
      </w:r>
      <w:r w:rsidR="00B40FE0" w:rsidRPr="00297AA7">
        <w:t xml:space="preserve">Kelių priežiūros ir plėtros </w:t>
      </w:r>
      <w:r w:rsidR="00B40FE0">
        <w:t>rezervo kofinansavimui, 144,6</w:t>
      </w:r>
      <w:r w:rsidR="009C5C82">
        <w:t xml:space="preserve"> </w:t>
      </w:r>
      <w:r w:rsidR="00B40FE0" w:rsidRPr="009C5C82">
        <w:t>tūkst. eurų</w:t>
      </w:r>
      <w:r w:rsidR="00B40FE0">
        <w:t xml:space="preserve"> kaimiškų vietovių infrastruktūros tvarkymui</w:t>
      </w:r>
      <w:r w:rsidR="00EF126A" w:rsidRPr="009C5C82">
        <w:t xml:space="preserve">. </w:t>
      </w:r>
      <w:r w:rsidR="00EF126A" w:rsidRPr="00B40FE0">
        <w:t>D</w:t>
      </w:r>
      <w:r w:rsidR="0008752E" w:rsidRPr="00B40FE0">
        <w:t>ėl pasikeitusi</w:t>
      </w:r>
      <w:r w:rsidR="00EF126A" w:rsidRPr="00B40FE0">
        <w:t>ų</w:t>
      </w:r>
      <w:r w:rsidR="0008752E" w:rsidRPr="00B40FE0">
        <w:t xml:space="preserve"> higienos normų</w:t>
      </w:r>
      <w:r w:rsidR="001C0C52" w:rsidRPr="00B40FE0">
        <w:t>,</w:t>
      </w:r>
      <w:r w:rsidR="0008752E" w:rsidRPr="00B40FE0">
        <w:t xml:space="preserve"> taikomų vaikų žaidimo aikštel</w:t>
      </w:r>
      <w:r w:rsidR="001C0C52" w:rsidRPr="00B40FE0">
        <w:t>ė</w:t>
      </w:r>
      <w:r w:rsidR="0008752E" w:rsidRPr="00B40FE0">
        <w:t>ms</w:t>
      </w:r>
      <w:r w:rsidR="001C0C52" w:rsidRPr="00B40FE0">
        <w:t>,</w:t>
      </w:r>
      <w:r w:rsidR="0008752E" w:rsidRPr="00B40FE0">
        <w:t xml:space="preserve"> siūlom</w:t>
      </w:r>
      <w:r w:rsidR="001C0C52" w:rsidRPr="00B40FE0">
        <w:t>a</w:t>
      </w:r>
      <w:r w:rsidR="0008752E" w:rsidRPr="00B40FE0">
        <w:t xml:space="preserve"> 20</w:t>
      </w:r>
      <w:r w:rsidR="00B40FE0" w:rsidRPr="00B40FE0">
        <w:t>20</w:t>
      </w:r>
      <w:r w:rsidR="0008752E" w:rsidRPr="00B40FE0">
        <w:t xml:space="preserve"> m. iš savivaldybės biudžet</w:t>
      </w:r>
      <w:r w:rsidR="001C0C52" w:rsidRPr="00B40FE0">
        <w:t>o</w:t>
      </w:r>
      <w:r w:rsidR="0008752E" w:rsidRPr="00B40FE0">
        <w:t xml:space="preserve"> skirti </w:t>
      </w:r>
      <w:r w:rsidR="00B40FE0" w:rsidRPr="00B40FE0">
        <w:t>232,5</w:t>
      </w:r>
      <w:r w:rsidR="0008752E" w:rsidRPr="00B40FE0">
        <w:t xml:space="preserve"> tūkst. eurų vaikų žaidimo aikštelių vaikų lopšeliuose</w:t>
      </w:r>
      <w:r w:rsidR="001C0C52" w:rsidRPr="00B40FE0">
        <w:t>-</w:t>
      </w:r>
      <w:r w:rsidR="0008752E" w:rsidRPr="00B40FE0">
        <w:t xml:space="preserve">darželiuose ir miesto teritorijoje remontui ir įrengimui. </w:t>
      </w:r>
      <w:r w:rsidR="00B40FE0" w:rsidRPr="00B40FE0">
        <w:t>973,79</w:t>
      </w:r>
      <w:r w:rsidR="0008752E" w:rsidRPr="00B40FE0">
        <w:t xml:space="preserve"> tūkst. eurų</w:t>
      </w:r>
      <w:r w:rsidR="003162FF" w:rsidRPr="00B40FE0">
        <w:t xml:space="preserve"> numatyt</w:t>
      </w:r>
      <w:r w:rsidR="0008752E" w:rsidRPr="00B40FE0">
        <w:t>a</w:t>
      </w:r>
      <w:r w:rsidR="003162FF" w:rsidRPr="00B40FE0">
        <w:t xml:space="preserve"> biudžetinių įstaigų remont</w:t>
      </w:r>
      <w:r w:rsidR="0008752E" w:rsidRPr="00B40FE0">
        <w:t>o</w:t>
      </w:r>
      <w:r w:rsidR="003162FF" w:rsidRPr="00B40FE0">
        <w:t xml:space="preserve"> darbams</w:t>
      </w:r>
      <w:r w:rsidR="00EC3328">
        <w:t>.</w:t>
      </w:r>
      <w:r w:rsidR="003162FF" w:rsidRPr="00B40FE0">
        <w:t xml:space="preserve"> </w:t>
      </w:r>
      <w:r w:rsidR="00EC3328" w:rsidRPr="00EC3328">
        <w:t xml:space="preserve">Numatyta </w:t>
      </w:r>
      <w:r w:rsidR="00EC3328">
        <w:t>1712,794</w:t>
      </w:r>
      <w:r w:rsidR="00EC3328" w:rsidRPr="00EC3328">
        <w:t xml:space="preserve"> tūkst. eurų iš Savivaldybės biudžeto lėšų</w:t>
      </w:r>
      <w:r w:rsidR="00EC3328">
        <w:t>, 220,899</w:t>
      </w:r>
      <w:r w:rsidR="00EC3328" w:rsidRPr="00EC3328">
        <w:t xml:space="preserve"> tūkst. eurų iš Valstybės biudžeto lėšų </w:t>
      </w:r>
      <w:r w:rsidR="00EC3328">
        <w:t xml:space="preserve">ir 316,527 skolintų lėšų </w:t>
      </w:r>
      <w:r w:rsidR="00EC3328" w:rsidRPr="00EC3328">
        <w:t>t</w:t>
      </w:r>
      <w:r w:rsidR="003A503E">
        <w:t>ę</w:t>
      </w:r>
      <w:r w:rsidR="00EC3328" w:rsidRPr="00EC3328">
        <w:t>siam</w:t>
      </w:r>
      <w:r w:rsidR="003A503E">
        <w:t>ie</w:t>
      </w:r>
      <w:r w:rsidR="00EC3328" w:rsidRPr="00EC3328">
        <w:t xml:space="preserve">ms projektams </w:t>
      </w:r>
      <w:r w:rsidR="00CD37C2" w:rsidRPr="00EC3328">
        <w:t xml:space="preserve">„Vietinės reikšmės kelio Visagino-Parko-Sedulinos al. kvartale rekonstravimas ir kompleksinis aplinkos sutvarkymas“, „Visagino miesto centralizuotos šildymo sistemos modernizavimas ir atnaujinimas“ </w:t>
      </w:r>
      <w:r w:rsidR="001C0C52" w:rsidRPr="00EC3328">
        <w:t xml:space="preserve">II etapui </w:t>
      </w:r>
      <w:r w:rsidR="00CD37C2" w:rsidRPr="00EC3328">
        <w:t>įgyvendin</w:t>
      </w:r>
      <w:r w:rsidR="001C0C52" w:rsidRPr="00EC3328">
        <w:t>ti</w:t>
      </w:r>
      <w:r w:rsidR="00CD37C2" w:rsidRPr="00EC3328">
        <w:t xml:space="preserve"> (II ir III mikrorajona</w:t>
      </w:r>
      <w:r w:rsidR="001C0C52" w:rsidRPr="00EC3328">
        <w:t>i</w:t>
      </w:r>
      <w:r w:rsidR="00CD37C2" w:rsidRPr="00EC3328">
        <w:t>), „Buvusios Sedulinos  mokyklos pastato pritaikymas Visagino kultūros centro ir bendruomenės reikmėms, įrengiant Kultūros, turizmo ir kūrybinio verslo miestą po vienu stogu“ įgyvendin</w:t>
      </w:r>
      <w:r w:rsidR="000A512D" w:rsidRPr="00EC3328">
        <w:t>ti</w:t>
      </w:r>
      <w:r w:rsidR="00CD37C2" w:rsidRPr="00EC3328">
        <w:t>, „Visagino g. atkarpos inžinerinių paviršinių nuotekų surinkimo ir šalinimo tinklų sutvarkymas“</w:t>
      </w:r>
      <w:r w:rsidR="00EC3328" w:rsidRPr="00EC3328">
        <w:t>, „Sveikas gyvenimas – pirmieji žingsniai, kuriant harmoniją (Eco Life-First steps in creating harmony)</w:t>
      </w:r>
      <w:bookmarkStart w:id="31" w:name="_Hlk30971863"/>
      <w:r w:rsidR="00EC3328" w:rsidRPr="00EC3328">
        <w:t>“</w:t>
      </w:r>
      <w:bookmarkEnd w:id="31"/>
      <w:r w:rsidR="00EC3328" w:rsidRPr="00EC3328">
        <w:t xml:space="preserve"> </w:t>
      </w:r>
      <w:r w:rsidR="00CD37C2" w:rsidRPr="00EC3328">
        <w:t xml:space="preserve"> </w:t>
      </w:r>
      <w:r w:rsidR="001C0C52" w:rsidRPr="00EC3328">
        <w:t xml:space="preserve">likusiems darbams </w:t>
      </w:r>
      <w:r w:rsidR="00CD37C2" w:rsidRPr="00EC3328">
        <w:t>įgyvendin</w:t>
      </w:r>
      <w:r w:rsidR="002C46A2" w:rsidRPr="00EC3328">
        <w:t>t</w:t>
      </w:r>
      <w:r w:rsidR="00CD37C2" w:rsidRPr="00EC3328">
        <w:t xml:space="preserve">i, </w:t>
      </w:r>
      <w:r w:rsidR="00EC3328" w:rsidRPr="00EC3328">
        <w:t xml:space="preserve">projekto </w:t>
      </w:r>
      <w:bookmarkStart w:id="32" w:name="_Hlk30971847"/>
      <w:r w:rsidR="00EC3328" w:rsidRPr="00EC3328">
        <w:t>„</w:t>
      </w:r>
      <w:bookmarkEnd w:id="32"/>
      <w:r w:rsidR="00EC3328" w:rsidRPr="00EC3328">
        <w:t xml:space="preserve">Visagino savivaldybės viešųjų pastatų energijos efektyvumo didinimas (IV etapas)“ ir projekto </w:t>
      </w:r>
      <w:r w:rsidR="007C1D26" w:rsidRPr="00EC3328">
        <w:t>„</w:t>
      </w:r>
      <w:r w:rsidR="00EC3328" w:rsidRPr="00EC3328">
        <w:t>Naujų kapinių I etapo įrengimo darbai</w:t>
      </w:r>
      <w:r w:rsidR="003A503E">
        <w:t>“</w:t>
      </w:r>
      <w:r w:rsidR="00EC3328" w:rsidRPr="00EC3328">
        <w:t xml:space="preserve"> baigiamiesiems darbams apmokėti,</w:t>
      </w:r>
      <w:r w:rsidR="00EC3328">
        <w:t xml:space="preserve"> ir </w:t>
      </w:r>
      <w:r w:rsidR="007C1D26">
        <w:t>planuojamoms</w:t>
      </w:r>
      <w:r w:rsidR="00EC3328">
        <w:t xml:space="preserve"> naujoms projektams </w:t>
      </w:r>
      <w:r w:rsidR="007C1D26">
        <w:t>„</w:t>
      </w:r>
      <w:r w:rsidR="007C1D26" w:rsidRPr="007C1D26">
        <w:t>Infrastruktūros sutvarkymas šalia nebaigto statyti pastato, esančio Festivalio g. 5, pertvarkant teritoriją į automobilių stovėjimo aikštelę</w:t>
      </w:r>
      <w:r w:rsidR="007C1D26" w:rsidRPr="00EC3328">
        <w:t>“</w:t>
      </w:r>
      <w:r w:rsidR="007C1D26">
        <w:t xml:space="preserve">, </w:t>
      </w:r>
      <w:r w:rsidR="007C1D26" w:rsidRPr="00EC3328">
        <w:t>„</w:t>
      </w:r>
      <w:r w:rsidR="007C1D26" w:rsidRPr="007C1D26">
        <w:t>Autobusų stoties su turizmo informacijos centru įrengimas</w:t>
      </w:r>
      <w:r w:rsidR="007C1D26" w:rsidRPr="00EC3328">
        <w:t>“</w:t>
      </w:r>
      <w:r w:rsidR="007C1D26">
        <w:t>,</w:t>
      </w:r>
      <w:r w:rsidR="007C1D26" w:rsidRPr="007C1D26">
        <w:t xml:space="preserve"> </w:t>
      </w:r>
      <w:bookmarkStart w:id="33" w:name="_Hlk30972048"/>
      <w:r w:rsidR="007C1D26" w:rsidRPr="00EC3328">
        <w:t>„</w:t>
      </w:r>
      <w:bookmarkEnd w:id="33"/>
      <w:r w:rsidR="007C1D26" w:rsidRPr="007C1D26">
        <w:t>Gerinti sąlygas ugdyti fiziškai aktyvią visuomenę remontuojant, atnaujinant (modernizuojant) ir (arba) rekonstruojant esamų sporto bazių infrastruktūrą Visagino savivaldybėje</w:t>
      </w:r>
      <w:bookmarkStart w:id="34" w:name="_Hlk30972067"/>
      <w:r w:rsidR="007C1D26" w:rsidRPr="00EC3328">
        <w:t>“</w:t>
      </w:r>
      <w:r w:rsidR="007C1D26">
        <w:t>,</w:t>
      </w:r>
      <w:bookmarkEnd w:id="34"/>
      <w:r w:rsidR="007C1D26">
        <w:t xml:space="preserve"> </w:t>
      </w:r>
      <w:bookmarkStart w:id="35" w:name="_Hlk30972132"/>
      <w:r w:rsidR="007C1D26" w:rsidRPr="00EC3328">
        <w:t>„</w:t>
      </w:r>
      <w:bookmarkEnd w:id="35"/>
      <w:r w:rsidR="007C1D26" w:rsidRPr="007C1D26">
        <w:t xml:space="preserve">VšĮ IAE regiono verslo ir turizmo informacijos centro pastato, esančio adresu Taikos </w:t>
      </w:r>
      <w:r w:rsidR="003A503E">
        <w:t>pr</w:t>
      </w:r>
      <w:r w:rsidR="007C1D26" w:rsidRPr="007C1D26">
        <w:t>. 7, energijos vartojimo efektyvumo didinimas Visagino savivaldybėje įgyvendinim</w:t>
      </w:r>
      <w:r w:rsidR="007C1D26">
        <w:t>ui</w:t>
      </w:r>
      <w:bookmarkStart w:id="36" w:name="_Hlk30972145"/>
      <w:r w:rsidR="007C1D26" w:rsidRPr="00EC3328">
        <w:t>“</w:t>
      </w:r>
      <w:r w:rsidR="007C1D26">
        <w:t>,</w:t>
      </w:r>
      <w:bookmarkEnd w:id="36"/>
      <w:r w:rsidR="007C1D26">
        <w:t xml:space="preserve"> </w:t>
      </w:r>
      <w:r w:rsidR="007C1D26" w:rsidRPr="00EC3328">
        <w:t>„</w:t>
      </w:r>
      <w:r w:rsidR="007C1D26" w:rsidRPr="007C1D26">
        <w:t>Sedulinos alėjos atkarpos nuo Parko g. iki Visagino g. rekonstruk</w:t>
      </w:r>
      <w:r w:rsidR="007C1D26">
        <w:t>c</w:t>
      </w:r>
      <w:r w:rsidR="007C1D26" w:rsidRPr="007C1D26">
        <w:t>ija</w:t>
      </w:r>
      <w:bookmarkStart w:id="37" w:name="_Hlk30972272"/>
      <w:r w:rsidR="007C1D26" w:rsidRPr="00EC3328">
        <w:t>“</w:t>
      </w:r>
      <w:r w:rsidR="007C1D26">
        <w:t>,</w:t>
      </w:r>
      <w:bookmarkEnd w:id="37"/>
      <w:r w:rsidR="007C1D26">
        <w:t xml:space="preserve"> </w:t>
      </w:r>
      <w:r w:rsidR="007C1D26" w:rsidRPr="00EC3328">
        <w:t>„</w:t>
      </w:r>
      <w:r w:rsidR="007C1D26" w:rsidRPr="007C1D26">
        <w:t>Jungties nuo geležinkelio stoties iki Visagino miesto centro įrengimas kartu su etnokultūrų parku</w:t>
      </w:r>
      <w:r w:rsidR="007C1D26" w:rsidRPr="00EC3328">
        <w:t>“</w:t>
      </w:r>
      <w:r w:rsidR="007C1D26">
        <w:t xml:space="preserve">, </w:t>
      </w:r>
      <w:r w:rsidR="007C1D26" w:rsidRPr="007C1D26">
        <w:t>Visagino miesto energetinio efektyvumo didinimo daugiabučiuose namuose programos „Visagino enervizija“ įgyvendinim</w:t>
      </w:r>
      <w:r w:rsidR="007C1D26">
        <w:t xml:space="preserve">ui, </w:t>
      </w:r>
      <w:r w:rsidR="004116D3">
        <w:t xml:space="preserve">50,0 tūkst. eurų techninio projekto dėl elektros skaitiklių įrengimo parengimui ir įrengimo darbams, 10,0 tūkst. eurų naujų objektų prisijungimui prie elektros skirstomųjų tinklų, </w:t>
      </w:r>
      <w:r w:rsidR="004116D3" w:rsidRPr="00897B56">
        <w:t>kitoms priemonėms finansuoti.</w:t>
      </w:r>
    </w:p>
    <w:bookmarkEnd w:id="0"/>
    <w:p w14:paraId="2E1D0572" w14:textId="77777777" w:rsidR="00EF126A" w:rsidRDefault="00EF126A" w:rsidP="003162FF">
      <w:pPr>
        <w:ind w:firstLine="1296"/>
        <w:jc w:val="both"/>
      </w:pPr>
    </w:p>
    <w:p w14:paraId="2A66B35E" w14:textId="638C9240" w:rsidR="003359B5" w:rsidRDefault="003359B5" w:rsidP="003359B5">
      <w:pPr>
        <w:jc w:val="both"/>
      </w:pPr>
      <w:r w:rsidRPr="00DB179D">
        <w:tab/>
        <w:t>Su biudžeto projektu tai</w:t>
      </w:r>
      <w:r w:rsidR="00105503" w:rsidRPr="00DB179D">
        <w:t>p</w:t>
      </w:r>
      <w:r w:rsidRPr="00DB179D">
        <w:t xml:space="preserve"> pat galima susipažinti Savivaldybės administracijos Finansų </w:t>
      </w:r>
      <w:r w:rsidR="00265AAE">
        <w:t xml:space="preserve">ir biudžeto </w:t>
      </w:r>
      <w:r w:rsidRPr="00DB179D">
        <w:t xml:space="preserve">skyriuje. Savivaldybės gyventojai ir juridiniai asmenys pastabas ir pasiūlymus dėl biudžeto projekto gali teikti </w:t>
      </w:r>
      <w:r w:rsidRPr="004C78DF">
        <w:rPr>
          <w:b/>
          <w:color w:val="0066FF"/>
        </w:rPr>
        <w:t>iki</w:t>
      </w:r>
      <w:r w:rsidR="00136C88" w:rsidRPr="004C78DF">
        <w:rPr>
          <w:b/>
          <w:color w:val="0066FF"/>
        </w:rPr>
        <w:t xml:space="preserve"> vasario </w:t>
      </w:r>
      <w:r w:rsidR="00E57DF6">
        <w:rPr>
          <w:b/>
          <w:color w:val="0066FF"/>
        </w:rPr>
        <w:t>9</w:t>
      </w:r>
      <w:r w:rsidR="00136C88" w:rsidRPr="004C78DF">
        <w:rPr>
          <w:b/>
          <w:color w:val="0066FF"/>
        </w:rPr>
        <w:t>d.</w:t>
      </w:r>
      <w:r w:rsidR="00136C88" w:rsidRPr="004C78DF">
        <w:rPr>
          <w:color w:val="0066FF"/>
        </w:rPr>
        <w:t xml:space="preserve"> </w:t>
      </w:r>
      <w:r w:rsidR="00136C88" w:rsidRPr="00DB179D">
        <w:t xml:space="preserve">elektroniniu paštu </w:t>
      </w:r>
      <w:hyperlink r:id="rId12" w:history="1">
        <w:r w:rsidR="00136C88" w:rsidRPr="004C78DF">
          <w:rPr>
            <w:rStyle w:val="Hipersaitas"/>
            <w:color w:val="0066FF"/>
          </w:rPr>
          <w:t>nadezda.rybakova@visaginas.lt</w:t>
        </w:r>
      </w:hyperlink>
      <w:r w:rsidR="001519FD">
        <w:t xml:space="preserve"> arba tel. (8 386) </w:t>
      </w:r>
      <w:r w:rsidR="002C46A2">
        <w:t xml:space="preserve"> </w:t>
      </w:r>
      <w:r w:rsidR="001519FD">
        <w:t>32</w:t>
      </w:r>
      <w:r w:rsidR="002C46A2">
        <w:t xml:space="preserve"> </w:t>
      </w:r>
      <w:r w:rsidR="001519FD">
        <w:t>665</w:t>
      </w:r>
      <w:r w:rsidR="00136C88" w:rsidRPr="00DB179D">
        <w:t xml:space="preserve">. Pasiūlymai </w:t>
      </w:r>
      <w:r w:rsidR="002C46A2" w:rsidRPr="00DB179D">
        <w:t xml:space="preserve">dėl </w:t>
      </w:r>
      <w:r w:rsidR="00136C88" w:rsidRPr="00DB179D">
        <w:t>biudžeto projek</w:t>
      </w:r>
      <w:r w:rsidR="002C46A2">
        <w:t>to</w:t>
      </w:r>
      <w:r w:rsidR="00136C88" w:rsidRPr="00DB179D">
        <w:t xml:space="preserve"> </w:t>
      </w:r>
      <w:r w:rsidR="00783CE7" w:rsidRPr="00DB179D">
        <w:t>asignavimų didinimo</w:t>
      </w:r>
      <w:r w:rsidR="00136C88" w:rsidRPr="00DB179D">
        <w:t xml:space="preserve"> arba </w:t>
      </w:r>
      <w:r w:rsidR="00783CE7" w:rsidRPr="00DB179D">
        <w:t>naujų asignavimų numatymo</w:t>
      </w:r>
      <w:r w:rsidR="00136C88" w:rsidRPr="00DB179D">
        <w:t xml:space="preserve"> bus svarstomi tik tada, kai pasi</w:t>
      </w:r>
      <w:r w:rsidR="00783CE7" w:rsidRPr="00DB179D">
        <w:t>ū</w:t>
      </w:r>
      <w:r w:rsidR="00136C88" w:rsidRPr="00DB179D">
        <w:t>lymo iniciatoriai nurodys šių išlaidų finansavimo šaltinį.</w:t>
      </w:r>
    </w:p>
    <w:p w14:paraId="47E48407" w14:textId="77777777" w:rsidR="00EC15B4" w:rsidRPr="00EC15B4" w:rsidRDefault="00EC15B4" w:rsidP="00EC15B4">
      <w:pPr>
        <w:ind w:left="720"/>
        <w:jc w:val="both"/>
        <w:rPr>
          <w:u w:val="single"/>
        </w:rPr>
      </w:pPr>
      <w:bookmarkStart w:id="38" w:name="_GoBack"/>
      <w:bookmarkEnd w:id="38"/>
    </w:p>
    <w:p w14:paraId="24A9D2F7" w14:textId="77777777" w:rsidR="00EC15B4" w:rsidRPr="00EC15B4" w:rsidRDefault="00EC15B4" w:rsidP="003359B5">
      <w:pPr>
        <w:jc w:val="both"/>
        <w:rPr>
          <w:u w:val="single"/>
        </w:rPr>
      </w:pPr>
    </w:p>
    <w:sectPr w:rsidR="00EC15B4" w:rsidRPr="00EC15B4" w:rsidSect="00177FC0">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EA2B9" w14:textId="77777777" w:rsidR="0000668D" w:rsidRDefault="0000668D" w:rsidP="00CD5D80">
      <w:r>
        <w:separator/>
      </w:r>
    </w:p>
  </w:endnote>
  <w:endnote w:type="continuationSeparator" w:id="0">
    <w:p w14:paraId="6387A0AC" w14:textId="77777777" w:rsidR="0000668D" w:rsidRDefault="0000668D" w:rsidP="00CD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C1643" w14:textId="77777777" w:rsidR="0000668D" w:rsidRDefault="0000668D" w:rsidP="00CD5D80">
      <w:r>
        <w:separator/>
      </w:r>
    </w:p>
  </w:footnote>
  <w:footnote w:type="continuationSeparator" w:id="0">
    <w:p w14:paraId="4DBD89F9" w14:textId="77777777" w:rsidR="0000668D" w:rsidRDefault="0000668D" w:rsidP="00CD5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42EEA"/>
    <w:multiLevelType w:val="hybridMultilevel"/>
    <w:tmpl w:val="3A44D6FA"/>
    <w:lvl w:ilvl="0" w:tplc="C3680ACA">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 w15:restartNumberingAfterBreak="0">
    <w:nsid w:val="56DF6129"/>
    <w:multiLevelType w:val="hybridMultilevel"/>
    <w:tmpl w:val="A656D6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56"/>
    <w:rsid w:val="0000350E"/>
    <w:rsid w:val="00006129"/>
    <w:rsid w:val="00006637"/>
    <w:rsid w:val="0000668D"/>
    <w:rsid w:val="00011688"/>
    <w:rsid w:val="00014074"/>
    <w:rsid w:val="0005092A"/>
    <w:rsid w:val="0005382A"/>
    <w:rsid w:val="00056173"/>
    <w:rsid w:val="00073695"/>
    <w:rsid w:val="0008752E"/>
    <w:rsid w:val="00092017"/>
    <w:rsid w:val="0009423C"/>
    <w:rsid w:val="000957A4"/>
    <w:rsid w:val="000A512D"/>
    <w:rsid w:val="000A6306"/>
    <w:rsid w:val="000B06D2"/>
    <w:rsid w:val="000B18B4"/>
    <w:rsid w:val="000B6D77"/>
    <w:rsid w:val="000C7170"/>
    <w:rsid w:val="000D4ACF"/>
    <w:rsid w:val="000D7C2E"/>
    <w:rsid w:val="000F2480"/>
    <w:rsid w:val="00105503"/>
    <w:rsid w:val="001149E3"/>
    <w:rsid w:val="00136C88"/>
    <w:rsid w:val="00137028"/>
    <w:rsid w:val="001519FD"/>
    <w:rsid w:val="00160324"/>
    <w:rsid w:val="001628ED"/>
    <w:rsid w:val="00172F9D"/>
    <w:rsid w:val="00177FC0"/>
    <w:rsid w:val="00190449"/>
    <w:rsid w:val="001904D8"/>
    <w:rsid w:val="00194B3E"/>
    <w:rsid w:val="001A0A6F"/>
    <w:rsid w:val="001A3AE4"/>
    <w:rsid w:val="001A657E"/>
    <w:rsid w:val="001B2513"/>
    <w:rsid w:val="001B7096"/>
    <w:rsid w:val="001C0C52"/>
    <w:rsid w:val="001C5F52"/>
    <w:rsid w:val="001E2E83"/>
    <w:rsid w:val="001E57FE"/>
    <w:rsid w:val="001E6D5B"/>
    <w:rsid w:val="001F0DBA"/>
    <w:rsid w:val="00207857"/>
    <w:rsid w:val="00210FD9"/>
    <w:rsid w:val="00214BB0"/>
    <w:rsid w:val="00220EA8"/>
    <w:rsid w:val="0023068C"/>
    <w:rsid w:val="00236252"/>
    <w:rsid w:val="00240923"/>
    <w:rsid w:val="002502E7"/>
    <w:rsid w:val="00261035"/>
    <w:rsid w:val="00265AAE"/>
    <w:rsid w:val="00266ECE"/>
    <w:rsid w:val="0027218A"/>
    <w:rsid w:val="00285584"/>
    <w:rsid w:val="00287F4B"/>
    <w:rsid w:val="00290810"/>
    <w:rsid w:val="00291236"/>
    <w:rsid w:val="00293B00"/>
    <w:rsid w:val="00297AA7"/>
    <w:rsid w:val="002B11DD"/>
    <w:rsid w:val="002C003F"/>
    <w:rsid w:val="002C46A2"/>
    <w:rsid w:val="002C7E94"/>
    <w:rsid w:val="002D4FC4"/>
    <w:rsid w:val="002D54B4"/>
    <w:rsid w:val="002D5776"/>
    <w:rsid w:val="002E3194"/>
    <w:rsid w:val="002F53BE"/>
    <w:rsid w:val="002F7A36"/>
    <w:rsid w:val="00302D44"/>
    <w:rsid w:val="00303551"/>
    <w:rsid w:val="003132CF"/>
    <w:rsid w:val="003162FF"/>
    <w:rsid w:val="0032110F"/>
    <w:rsid w:val="00323500"/>
    <w:rsid w:val="003334D7"/>
    <w:rsid w:val="003359B5"/>
    <w:rsid w:val="00343498"/>
    <w:rsid w:val="00344497"/>
    <w:rsid w:val="0034793C"/>
    <w:rsid w:val="0035084C"/>
    <w:rsid w:val="0035227B"/>
    <w:rsid w:val="0035435B"/>
    <w:rsid w:val="00354D4C"/>
    <w:rsid w:val="003630DC"/>
    <w:rsid w:val="00365B02"/>
    <w:rsid w:val="00381AA8"/>
    <w:rsid w:val="00383553"/>
    <w:rsid w:val="00385D90"/>
    <w:rsid w:val="00396027"/>
    <w:rsid w:val="00397E2B"/>
    <w:rsid w:val="003A3515"/>
    <w:rsid w:val="003A503E"/>
    <w:rsid w:val="003A530B"/>
    <w:rsid w:val="003B6A3B"/>
    <w:rsid w:val="003C2124"/>
    <w:rsid w:val="003C3590"/>
    <w:rsid w:val="003C41E1"/>
    <w:rsid w:val="003C65F6"/>
    <w:rsid w:val="003C6F43"/>
    <w:rsid w:val="003C79C3"/>
    <w:rsid w:val="003D5DB3"/>
    <w:rsid w:val="003E5848"/>
    <w:rsid w:val="00400359"/>
    <w:rsid w:val="00400860"/>
    <w:rsid w:val="004037F0"/>
    <w:rsid w:val="00404D69"/>
    <w:rsid w:val="004116D3"/>
    <w:rsid w:val="004307A4"/>
    <w:rsid w:val="00443354"/>
    <w:rsid w:val="00443BE7"/>
    <w:rsid w:val="00461798"/>
    <w:rsid w:val="004639F9"/>
    <w:rsid w:val="00473A88"/>
    <w:rsid w:val="004759E9"/>
    <w:rsid w:val="00477417"/>
    <w:rsid w:val="004806F6"/>
    <w:rsid w:val="00483B1E"/>
    <w:rsid w:val="00487A31"/>
    <w:rsid w:val="004A0CCA"/>
    <w:rsid w:val="004A3B8D"/>
    <w:rsid w:val="004A66DE"/>
    <w:rsid w:val="004B0AD3"/>
    <w:rsid w:val="004C3428"/>
    <w:rsid w:val="004C34CC"/>
    <w:rsid w:val="004C4733"/>
    <w:rsid w:val="004C78DF"/>
    <w:rsid w:val="004D5E03"/>
    <w:rsid w:val="00502E61"/>
    <w:rsid w:val="00505ED5"/>
    <w:rsid w:val="005143F4"/>
    <w:rsid w:val="00515696"/>
    <w:rsid w:val="00516D03"/>
    <w:rsid w:val="005229FD"/>
    <w:rsid w:val="00546C23"/>
    <w:rsid w:val="00557A16"/>
    <w:rsid w:val="00570148"/>
    <w:rsid w:val="00577F41"/>
    <w:rsid w:val="0058118B"/>
    <w:rsid w:val="00585BC6"/>
    <w:rsid w:val="00586899"/>
    <w:rsid w:val="00592CBE"/>
    <w:rsid w:val="005A790A"/>
    <w:rsid w:val="005B7AED"/>
    <w:rsid w:val="005C5B45"/>
    <w:rsid w:val="005E02FB"/>
    <w:rsid w:val="005F6E1E"/>
    <w:rsid w:val="0060645D"/>
    <w:rsid w:val="0061191C"/>
    <w:rsid w:val="00616628"/>
    <w:rsid w:val="00616F2A"/>
    <w:rsid w:val="00620630"/>
    <w:rsid w:val="00633FE5"/>
    <w:rsid w:val="00644FD8"/>
    <w:rsid w:val="00665AB9"/>
    <w:rsid w:val="006708A0"/>
    <w:rsid w:val="006841A4"/>
    <w:rsid w:val="006965D0"/>
    <w:rsid w:val="00697900"/>
    <w:rsid w:val="006A582C"/>
    <w:rsid w:val="006B1696"/>
    <w:rsid w:val="006B4D0B"/>
    <w:rsid w:val="006C28DD"/>
    <w:rsid w:val="006D4891"/>
    <w:rsid w:val="006D5A50"/>
    <w:rsid w:val="006F199C"/>
    <w:rsid w:val="006F53B2"/>
    <w:rsid w:val="006F610A"/>
    <w:rsid w:val="007110F0"/>
    <w:rsid w:val="00734294"/>
    <w:rsid w:val="007371EE"/>
    <w:rsid w:val="00743054"/>
    <w:rsid w:val="007748CE"/>
    <w:rsid w:val="00783CE7"/>
    <w:rsid w:val="007842AD"/>
    <w:rsid w:val="00786EC8"/>
    <w:rsid w:val="00787461"/>
    <w:rsid w:val="0079058C"/>
    <w:rsid w:val="007A486B"/>
    <w:rsid w:val="007B6FE3"/>
    <w:rsid w:val="007C1D26"/>
    <w:rsid w:val="007D0578"/>
    <w:rsid w:val="007D5CE9"/>
    <w:rsid w:val="007D5E87"/>
    <w:rsid w:val="007E1975"/>
    <w:rsid w:val="007E67BB"/>
    <w:rsid w:val="00806051"/>
    <w:rsid w:val="00812F3D"/>
    <w:rsid w:val="00814AA3"/>
    <w:rsid w:val="00820E14"/>
    <w:rsid w:val="00827A34"/>
    <w:rsid w:val="008413B0"/>
    <w:rsid w:val="00851ED1"/>
    <w:rsid w:val="008560C5"/>
    <w:rsid w:val="00856969"/>
    <w:rsid w:val="00856CB1"/>
    <w:rsid w:val="00857304"/>
    <w:rsid w:val="00862437"/>
    <w:rsid w:val="00864AD9"/>
    <w:rsid w:val="008679C3"/>
    <w:rsid w:val="00870ECE"/>
    <w:rsid w:val="00877CE3"/>
    <w:rsid w:val="00890669"/>
    <w:rsid w:val="00893302"/>
    <w:rsid w:val="00896943"/>
    <w:rsid w:val="00897B56"/>
    <w:rsid w:val="008A74AB"/>
    <w:rsid w:val="008B319D"/>
    <w:rsid w:val="008B7453"/>
    <w:rsid w:val="008C1D85"/>
    <w:rsid w:val="008C22FE"/>
    <w:rsid w:val="008D2812"/>
    <w:rsid w:val="008D7CBF"/>
    <w:rsid w:val="008E29B5"/>
    <w:rsid w:val="008E6F56"/>
    <w:rsid w:val="00901BD5"/>
    <w:rsid w:val="009066B3"/>
    <w:rsid w:val="00907358"/>
    <w:rsid w:val="00914954"/>
    <w:rsid w:val="0091603B"/>
    <w:rsid w:val="00916DA3"/>
    <w:rsid w:val="00951FFD"/>
    <w:rsid w:val="009617C6"/>
    <w:rsid w:val="009659C1"/>
    <w:rsid w:val="009758FB"/>
    <w:rsid w:val="0099192A"/>
    <w:rsid w:val="009A746A"/>
    <w:rsid w:val="009A7DD9"/>
    <w:rsid w:val="009B51B5"/>
    <w:rsid w:val="009C120E"/>
    <w:rsid w:val="009C5C82"/>
    <w:rsid w:val="009C741E"/>
    <w:rsid w:val="009E3FDF"/>
    <w:rsid w:val="009E62A0"/>
    <w:rsid w:val="009F1AA4"/>
    <w:rsid w:val="009F444C"/>
    <w:rsid w:val="009F5FA0"/>
    <w:rsid w:val="009F6246"/>
    <w:rsid w:val="009F7825"/>
    <w:rsid w:val="00A1406B"/>
    <w:rsid w:val="00A15A0E"/>
    <w:rsid w:val="00A27D0D"/>
    <w:rsid w:val="00A3524F"/>
    <w:rsid w:val="00A553F6"/>
    <w:rsid w:val="00A57235"/>
    <w:rsid w:val="00A57ED0"/>
    <w:rsid w:val="00A8484B"/>
    <w:rsid w:val="00A84FD9"/>
    <w:rsid w:val="00A90CF3"/>
    <w:rsid w:val="00AA27CD"/>
    <w:rsid w:val="00AB2D63"/>
    <w:rsid w:val="00AC4561"/>
    <w:rsid w:val="00AC76CE"/>
    <w:rsid w:val="00AD1916"/>
    <w:rsid w:val="00AD20DF"/>
    <w:rsid w:val="00AD50EF"/>
    <w:rsid w:val="00AE14D2"/>
    <w:rsid w:val="00AE5851"/>
    <w:rsid w:val="00AE63E4"/>
    <w:rsid w:val="00AF3A4D"/>
    <w:rsid w:val="00AF7570"/>
    <w:rsid w:val="00B07AD5"/>
    <w:rsid w:val="00B1085E"/>
    <w:rsid w:val="00B11185"/>
    <w:rsid w:val="00B15BF8"/>
    <w:rsid w:val="00B22E60"/>
    <w:rsid w:val="00B275F9"/>
    <w:rsid w:val="00B319EF"/>
    <w:rsid w:val="00B31AD4"/>
    <w:rsid w:val="00B40FE0"/>
    <w:rsid w:val="00B45009"/>
    <w:rsid w:val="00B51B3A"/>
    <w:rsid w:val="00B65DD0"/>
    <w:rsid w:val="00B7083A"/>
    <w:rsid w:val="00B76C99"/>
    <w:rsid w:val="00B86FC2"/>
    <w:rsid w:val="00B92D72"/>
    <w:rsid w:val="00B94EBC"/>
    <w:rsid w:val="00BA1A14"/>
    <w:rsid w:val="00BB3B31"/>
    <w:rsid w:val="00BB702D"/>
    <w:rsid w:val="00BC3789"/>
    <w:rsid w:val="00BC3F05"/>
    <w:rsid w:val="00BC5DF1"/>
    <w:rsid w:val="00C17689"/>
    <w:rsid w:val="00C268A4"/>
    <w:rsid w:val="00C27603"/>
    <w:rsid w:val="00C40A41"/>
    <w:rsid w:val="00C44432"/>
    <w:rsid w:val="00C532CE"/>
    <w:rsid w:val="00C6455D"/>
    <w:rsid w:val="00C666DE"/>
    <w:rsid w:val="00C730B6"/>
    <w:rsid w:val="00C8109B"/>
    <w:rsid w:val="00C811A3"/>
    <w:rsid w:val="00C91BEE"/>
    <w:rsid w:val="00C97D13"/>
    <w:rsid w:val="00CB3E29"/>
    <w:rsid w:val="00CB49AE"/>
    <w:rsid w:val="00CB5FA7"/>
    <w:rsid w:val="00CD01A7"/>
    <w:rsid w:val="00CD37C2"/>
    <w:rsid w:val="00CD4281"/>
    <w:rsid w:val="00CD5D80"/>
    <w:rsid w:val="00CD68C0"/>
    <w:rsid w:val="00CE4881"/>
    <w:rsid w:val="00CE5415"/>
    <w:rsid w:val="00CF31B2"/>
    <w:rsid w:val="00D23C87"/>
    <w:rsid w:val="00D24250"/>
    <w:rsid w:val="00D304F8"/>
    <w:rsid w:val="00D3470F"/>
    <w:rsid w:val="00D46B3D"/>
    <w:rsid w:val="00D4722E"/>
    <w:rsid w:val="00D47664"/>
    <w:rsid w:val="00D505D1"/>
    <w:rsid w:val="00D5082B"/>
    <w:rsid w:val="00D63D35"/>
    <w:rsid w:val="00D8163A"/>
    <w:rsid w:val="00D83C51"/>
    <w:rsid w:val="00D84185"/>
    <w:rsid w:val="00D867F7"/>
    <w:rsid w:val="00D91160"/>
    <w:rsid w:val="00DA78DA"/>
    <w:rsid w:val="00DB179D"/>
    <w:rsid w:val="00DE4D1D"/>
    <w:rsid w:val="00DF2F66"/>
    <w:rsid w:val="00E02781"/>
    <w:rsid w:val="00E14033"/>
    <w:rsid w:val="00E205D7"/>
    <w:rsid w:val="00E32A57"/>
    <w:rsid w:val="00E44266"/>
    <w:rsid w:val="00E47537"/>
    <w:rsid w:val="00E51BAF"/>
    <w:rsid w:val="00E57DF6"/>
    <w:rsid w:val="00E610F0"/>
    <w:rsid w:val="00E77BFD"/>
    <w:rsid w:val="00E82C00"/>
    <w:rsid w:val="00E85111"/>
    <w:rsid w:val="00E86B27"/>
    <w:rsid w:val="00EA5D57"/>
    <w:rsid w:val="00EB4506"/>
    <w:rsid w:val="00EB6AC2"/>
    <w:rsid w:val="00EC150E"/>
    <w:rsid w:val="00EC15B4"/>
    <w:rsid w:val="00EC16E8"/>
    <w:rsid w:val="00EC3328"/>
    <w:rsid w:val="00EC757C"/>
    <w:rsid w:val="00ED6FA2"/>
    <w:rsid w:val="00EE0077"/>
    <w:rsid w:val="00EF126A"/>
    <w:rsid w:val="00F04F72"/>
    <w:rsid w:val="00F10690"/>
    <w:rsid w:val="00F127EC"/>
    <w:rsid w:val="00F136B9"/>
    <w:rsid w:val="00F27330"/>
    <w:rsid w:val="00F33DA3"/>
    <w:rsid w:val="00F44B6B"/>
    <w:rsid w:val="00F64391"/>
    <w:rsid w:val="00F66361"/>
    <w:rsid w:val="00F70513"/>
    <w:rsid w:val="00F72E9C"/>
    <w:rsid w:val="00F75F98"/>
    <w:rsid w:val="00F81BB4"/>
    <w:rsid w:val="00F915A8"/>
    <w:rsid w:val="00F97A23"/>
    <w:rsid w:val="00FB6C93"/>
    <w:rsid w:val="00FC7640"/>
    <w:rsid w:val="00FD174D"/>
    <w:rsid w:val="00FD2603"/>
    <w:rsid w:val="00FD3F1F"/>
    <w:rsid w:val="00FD6C1A"/>
    <w:rsid w:val="00FE14DF"/>
    <w:rsid w:val="00FE1770"/>
    <w:rsid w:val="00FE1F2C"/>
    <w:rsid w:val="00FF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42ABE"/>
  <w15:chartTrackingRefBased/>
  <w15:docId w15:val="{318476C2-C10A-419C-B089-750A3D0D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01BD5"/>
    <w:rPr>
      <w:rFonts w:ascii="Tahoma" w:hAnsi="Tahoma" w:cs="Tahoma"/>
      <w:sz w:val="16"/>
      <w:szCs w:val="16"/>
    </w:rPr>
  </w:style>
  <w:style w:type="table" w:styleId="Lentelstinklelis">
    <w:name w:val="Table Grid"/>
    <w:basedOn w:val="prastojilentel"/>
    <w:rsid w:val="008E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136C88"/>
    <w:rPr>
      <w:color w:val="0000FF"/>
      <w:u w:val="single"/>
    </w:rPr>
  </w:style>
  <w:style w:type="paragraph" w:styleId="Pagrindiniotekstotrauka">
    <w:name w:val="Body Text Indent"/>
    <w:basedOn w:val="prastasis"/>
    <w:link w:val="PagrindiniotekstotraukaDiagrama"/>
    <w:rsid w:val="00812F3D"/>
    <w:pPr>
      <w:tabs>
        <w:tab w:val="right" w:pos="9639"/>
      </w:tabs>
      <w:ind w:firstLine="1080"/>
      <w:jc w:val="both"/>
    </w:pPr>
    <w:rPr>
      <w:lang w:val="x-none" w:eastAsia="en-US"/>
    </w:rPr>
  </w:style>
  <w:style w:type="character" w:customStyle="1" w:styleId="PagrindiniotekstotraukaDiagrama">
    <w:name w:val="Pagrindinio teksto įtrauka Diagrama"/>
    <w:link w:val="Pagrindiniotekstotrauka"/>
    <w:rsid w:val="00812F3D"/>
    <w:rPr>
      <w:sz w:val="24"/>
      <w:szCs w:val="24"/>
      <w:lang w:eastAsia="en-US"/>
    </w:rPr>
  </w:style>
  <w:style w:type="character" w:styleId="Komentaronuoroda">
    <w:name w:val="annotation reference"/>
    <w:rsid w:val="008B319D"/>
    <w:rPr>
      <w:sz w:val="16"/>
      <w:szCs w:val="16"/>
    </w:rPr>
  </w:style>
  <w:style w:type="paragraph" w:styleId="Komentarotekstas">
    <w:name w:val="annotation text"/>
    <w:basedOn w:val="prastasis"/>
    <w:link w:val="KomentarotekstasDiagrama"/>
    <w:rsid w:val="008B319D"/>
    <w:rPr>
      <w:sz w:val="20"/>
      <w:szCs w:val="20"/>
    </w:rPr>
  </w:style>
  <w:style w:type="character" w:customStyle="1" w:styleId="KomentarotekstasDiagrama">
    <w:name w:val="Komentaro tekstas Diagrama"/>
    <w:basedOn w:val="Numatytasispastraiposriftas"/>
    <w:link w:val="Komentarotekstas"/>
    <w:rsid w:val="008B319D"/>
  </w:style>
  <w:style w:type="paragraph" w:styleId="Komentarotema">
    <w:name w:val="annotation subject"/>
    <w:basedOn w:val="Komentarotekstas"/>
    <w:next w:val="Komentarotekstas"/>
    <w:link w:val="KomentarotemaDiagrama"/>
    <w:rsid w:val="008B319D"/>
    <w:rPr>
      <w:b/>
      <w:bCs/>
    </w:rPr>
  </w:style>
  <w:style w:type="character" w:customStyle="1" w:styleId="KomentarotemaDiagrama">
    <w:name w:val="Komentaro tema Diagrama"/>
    <w:link w:val="Komentarotema"/>
    <w:rsid w:val="008B319D"/>
    <w:rPr>
      <w:b/>
      <w:bCs/>
    </w:rPr>
  </w:style>
  <w:style w:type="table" w:styleId="Lentelstinklelisviesus">
    <w:name w:val="Grid Table Light"/>
    <w:basedOn w:val="prastojilentel"/>
    <w:uiPriority w:val="40"/>
    <w:rsid w:val="0044335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3tinkleliolentel5parykinimas">
    <w:name w:val="Grid Table 3 Accent 5"/>
    <w:basedOn w:val="prastojilentel"/>
    <w:uiPriority w:val="48"/>
    <w:rsid w:val="0044335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4tinkleliolentel-1parykinimas">
    <w:name w:val="Grid Table 4 Accent 1"/>
    <w:basedOn w:val="prastojilentel"/>
    <w:uiPriority w:val="49"/>
    <w:rsid w:val="0044335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ntrats">
    <w:name w:val="header"/>
    <w:basedOn w:val="prastasis"/>
    <w:link w:val="AntratsDiagrama"/>
    <w:rsid w:val="00CD5D80"/>
    <w:pPr>
      <w:tabs>
        <w:tab w:val="center" w:pos="4819"/>
        <w:tab w:val="right" w:pos="9638"/>
      </w:tabs>
    </w:pPr>
  </w:style>
  <w:style w:type="character" w:customStyle="1" w:styleId="AntratsDiagrama">
    <w:name w:val="Antraštės Diagrama"/>
    <w:link w:val="Antrats"/>
    <w:rsid w:val="00CD5D80"/>
    <w:rPr>
      <w:sz w:val="24"/>
      <w:szCs w:val="24"/>
    </w:rPr>
  </w:style>
  <w:style w:type="paragraph" w:styleId="Porat">
    <w:name w:val="footer"/>
    <w:basedOn w:val="prastasis"/>
    <w:link w:val="PoratDiagrama"/>
    <w:rsid w:val="00CD5D80"/>
    <w:pPr>
      <w:tabs>
        <w:tab w:val="center" w:pos="4819"/>
        <w:tab w:val="right" w:pos="9638"/>
      </w:tabs>
    </w:pPr>
  </w:style>
  <w:style w:type="character" w:customStyle="1" w:styleId="PoratDiagrama">
    <w:name w:val="Poraštė Diagrama"/>
    <w:link w:val="Porat"/>
    <w:rsid w:val="00CD5D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832070">
      <w:bodyDiv w:val="1"/>
      <w:marLeft w:val="0"/>
      <w:marRight w:val="0"/>
      <w:marTop w:val="0"/>
      <w:marBottom w:val="0"/>
      <w:divBdr>
        <w:top w:val="none" w:sz="0" w:space="0" w:color="auto"/>
        <w:left w:val="none" w:sz="0" w:space="0" w:color="auto"/>
        <w:bottom w:val="none" w:sz="0" w:space="0" w:color="auto"/>
        <w:right w:val="none" w:sz="0" w:space="0" w:color="auto"/>
      </w:divBdr>
      <w:divsChild>
        <w:div w:id="273443271">
          <w:marLeft w:val="0"/>
          <w:marRight w:val="0"/>
          <w:marTop w:val="0"/>
          <w:marBottom w:val="0"/>
          <w:divBdr>
            <w:top w:val="none" w:sz="0" w:space="0" w:color="auto"/>
            <w:left w:val="none" w:sz="0" w:space="0" w:color="auto"/>
            <w:bottom w:val="none" w:sz="0" w:space="0" w:color="auto"/>
            <w:right w:val="none" w:sz="0" w:space="0" w:color="auto"/>
          </w:divBdr>
        </w:div>
        <w:div w:id="366107050">
          <w:marLeft w:val="0"/>
          <w:marRight w:val="0"/>
          <w:marTop w:val="0"/>
          <w:marBottom w:val="0"/>
          <w:divBdr>
            <w:top w:val="none" w:sz="0" w:space="0" w:color="auto"/>
            <w:left w:val="none" w:sz="0" w:space="0" w:color="auto"/>
            <w:bottom w:val="none" w:sz="0" w:space="0" w:color="auto"/>
            <w:right w:val="none" w:sz="0" w:space="0" w:color="auto"/>
          </w:divBdr>
        </w:div>
        <w:div w:id="510414599">
          <w:marLeft w:val="0"/>
          <w:marRight w:val="0"/>
          <w:marTop w:val="0"/>
          <w:marBottom w:val="0"/>
          <w:divBdr>
            <w:top w:val="none" w:sz="0" w:space="0" w:color="auto"/>
            <w:left w:val="none" w:sz="0" w:space="0" w:color="auto"/>
            <w:bottom w:val="none" w:sz="0" w:space="0" w:color="auto"/>
            <w:right w:val="none" w:sz="0" w:space="0" w:color="auto"/>
          </w:divBdr>
        </w:div>
        <w:div w:id="537199862">
          <w:marLeft w:val="0"/>
          <w:marRight w:val="0"/>
          <w:marTop w:val="0"/>
          <w:marBottom w:val="0"/>
          <w:divBdr>
            <w:top w:val="none" w:sz="0" w:space="0" w:color="auto"/>
            <w:left w:val="none" w:sz="0" w:space="0" w:color="auto"/>
            <w:bottom w:val="none" w:sz="0" w:space="0" w:color="auto"/>
            <w:right w:val="none" w:sz="0" w:space="0" w:color="auto"/>
          </w:divBdr>
        </w:div>
        <w:div w:id="798766359">
          <w:marLeft w:val="0"/>
          <w:marRight w:val="0"/>
          <w:marTop w:val="0"/>
          <w:marBottom w:val="0"/>
          <w:divBdr>
            <w:top w:val="none" w:sz="0" w:space="0" w:color="auto"/>
            <w:left w:val="none" w:sz="0" w:space="0" w:color="auto"/>
            <w:bottom w:val="none" w:sz="0" w:space="0" w:color="auto"/>
            <w:right w:val="none" w:sz="0" w:space="0" w:color="auto"/>
          </w:divBdr>
        </w:div>
        <w:div w:id="1099182568">
          <w:marLeft w:val="0"/>
          <w:marRight w:val="0"/>
          <w:marTop w:val="0"/>
          <w:marBottom w:val="0"/>
          <w:divBdr>
            <w:top w:val="none" w:sz="0" w:space="0" w:color="auto"/>
            <w:left w:val="none" w:sz="0" w:space="0" w:color="auto"/>
            <w:bottom w:val="none" w:sz="0" w:space="0" w:color="auto"/>
            <w:right w:val="none" w:sz="0" w:space="0" w:color="auto"/>
          </w:divBdr>
        </w:div>
        <w:div w:id="1112632642">
          <w:marLeft w:val="0"/>
          <w:marRight w:val="0"/>
          <w:marTop w:val="0"/>
          <w:marBottom w:val="0"/>
          <w:divBdr>
            <w:top w:val="none" w:sz="0" w:space="0" w:color="auto"/>
            <w:left w:val="none" w:sz="0" w:space="0" w:color="auto"/>
            <w:bottom w:val="none" w:sz="0" w:space="0" w:color="auto"/>
            <w:right w:val="none" w:sz="0" w:space="0" w:color="auto"/>
          </w:divBdr>
        </w:div>
        <w:div w:id="1118765924">
          <w:marLeft w:val="0"/>
          <w:marRight w:val="0"/>
          <w:marTop w:val="0"/>
          <w:marBottom w:val="0"/>
          <w:divBdr>
            <w:top w:val="none" w:sz="0" w:space="0" w:color="auto"/>
            <w:left w:val="none" w:sz="0" w:space="0" w:color="auto"/>
            <w:bottom w:val="none" w:sz="0" w:space="0" w:color="auto"/>
            <w:right w:val="none" w:sz="0" w:space="0" w:color="auto"/>
          </w:divBdr>
        </w:div>
        <w:div w:id="1127823159">
          <w:marLeft w:val="0"/>
          <w:marRight w:val="0"/>
          <w:marTop w:val="0"/>
          <w:marBottom w:val="0"/>
          <w:divBdr>
            <w:top w:val="none" w:sz="0" w:space="0" w:color="auto"/>
            <w:left w:val="none" w:sz="0" w:space="0" w:color="auto"/>
            <w:bottom w:val="none" w:sz="0" w:space="0" w:color="auto"/>
            <w:right w:val="none" w:sz="0" w:space="0" w:color="auto"/>
          </w:divBdr>
        </w:div>
        <w:div w:id="1186796971">
          <w:marLeft w:val="0"/>
          <w:marRight w:val="0"/>
          <w:marTop w:val="0"/>
          <w:marBottom w:val="0"/>
          <w:divBdr>
            <w:top w:val="none" w:sz="0" w:space="0" w:color="auto"/>
            <w:left w:val="none" w:sz="0" w:space="0" w:color="auto"/>
            <w:bottom w:val="none" w:sz="0" w:space="0" w:color="auto"/>
            <w:right w:val="none" w:sz="0" w:space="0" w:color="auto"/>
          </w:divBdr>
        </w:div>
        <w:div w:id="1287545716">
          <w:marLeft w:val="0"/>
          <w:marRight w:val="0"/>
          <w:marTop w:val="0"/>
          <w:marBottom w:val="0"/>
          <w:divBdr>
            <w:top w:val="none" w:sz="0" w:space="0" w:color="auto"/>
            <w:left w:val="none" w:sz="0" w:space="0" w:color="auto"/>
            <w:bottom w:val="none" w:sz="0" w:space="0" w:color="auto"/>
            <w:right w:val="none" w:sz="0" w:space="0" w:color="auto"/>
          </w:divBdr>
        </w:div>
        <w:div w:id="1332559645">
          <w:marLeft w:val="0"/>
          <w:marRight w:val="0"/>
          <w:marTop w:val="0"/>
          <w:marBottom w:val="0"/>
          <w:divBdr>
            <w:top w:val="none" w:sz="0" w:space="0" w:color="auto"/>
            <w:left w:val="none" w:sz="0" w:space="0" w:color="auto"/>
            <w:bottom w:val="none" w:sz="0" w:space="0" w:color="auto"/>
            <w:right w:val="none" w:sz="0" w:space="0" w:color="auto"/>
          </w:divBdr>
        </w:div>
        <w:div w:id="1383404036">
          <w:marLeft w:val="0"/>
          <w:marRight w:val="0"/>
          <w:marTop w:val="0"/>
          <w:marBottom w:val="0"/>
          <w:divBdr>
            <w:top w:val="none" w:sz="0" w:space="0" w:color="auto"/>
            <w:left w:val="none" w:sz="0" w:space="0" w:color="auto"/>
            <w:bottom w:val="none" w:sz="0" w:space="0" w:color="auto"/>
            <w:right w:val="none" w:sz="0" w:space="0" w:color="auto"/>
          </w:divBdr>
        </w:div>
        <w:div w:id="1536455686">
          <w:marLeft w:val="0"/>
          <w:marRight w:val="0"/>
          <w:marTop w:val="0"/>
          <w:marBottom w:val="0"/>
          <w:divBdr>
            <w:top w:val="none" w:sz="0" w:space="0" w:color="auto"/>
            <w:left w:val="none" w:sz="0" w:space="0" w:color="auto"/>
            <w:bottom w:val="none" w:sz="0" w:space="0" w:color="auto"/>
            <w:right w:val="none" w:sz="0" w:space="0" w:color="auto"/>
          </w:divBdr>
        </w:div>
        <w:div w:id="1625306147">
          <w:marLeft w:val="0"/>
          <w:marRight w:val="0"/>
          <w:marTop w:val="0"/>
          <w:marBottom w:val="0"/>
          <w:divBdr>
            <w:top w:val="none" w:sz="0" w:space="0" w:color="auto"/>
            <w:left w:val="none" w:sz="0" w:space="0" w:color="auto"/>
            <w:bottom w:val="none" w:sz="0" w:space="0" w:color="auto"/>
            <w:right w:val="none" w:sz="0" w:space="0" w:color="auto"/>
          </w:divBdr>
        </w:div>
        <w:div w:id="1705061486">
          <w:marLeft w:val="0"/>
          <w:marRight w:val="0"/>
          <w:marTop w:val="0"/>
          <w:marBottom w:val="0"/>
          <w:divBdr>
            <w:top w:val="none" w:sz="0" w:space="0" w:color="auto"/>
            <w:left w:val="none" w:sz="0" w:space="0" w:color="auto"/>
            <w:bottom w:val="none" w:sz="0" w:space="0" w:color="auto"/>
            <w:right w:val="none" w:sz="0" w:space="0" w:color="auto"/>
          </w:divBdr>
        </w:div>
      </w:divsChild>
    </w:div>
    <w:div w:id="387265121">
      <w:bodyDiv w:val="1"/>
      <w:marLeft w:val="0"/>
      <w:marRight w:val="0"/>
      <w:marTop w:val="0"/>
      <w:marBottom w:val="0"/>
      <w:divBdr>
        <w:top w:val="none" w:sz="0" w:space="0" w:color="auto"/>
        <w:left w:val="none" w:sz="0" w:space="0" w:color="auto"/>
        <w:bottom w:val="none" w:sz="0" w:space="0" w:color="auto"/>
        <w:right w:val="none" w:sz="0" w:space="0" w:color="auto"/>
      </w:divBdr>
    </w:div>
    <w:div w:id="754014580">
      <w:bodyDiv w:val="1"/>
      <w:marLeft w:val="0"/>
      <w:marRight w:val="0"/>
      <w:marTop w:val="0"/>
      <w:marBottom w:val="0"/>
      <w:divBdr>
        <w:top w:val="none" w:sz="0" w:space="0" w:color="auto"/>
        <w:left w:val="none" w:sz="0" w:space="0" w:color="auto"/>
        <w:bottom w:val="none" w:sz="0" w:space="0" w:color="auto"/>
        <w:right w:val="none" w:sz="0" w:space="0" w:color="auto"/>
      </w:divBdr>
      <w:divsChild>
        <w:div w:id="35979987">
          <w:marLeft w:val="0"/>
          <w:marRight w:val="0"/>
          <w:marTop w:val="0"/>
          <w:marBottom w:val="0"/>
          <w:divBdr>
            <w:top w:val="none" w:sz="0" w:space="0" w:color="auto"/>
            <w:left w:val="none" w:sz="0" w:space="0" w:color="auto"/>
            <w:bottom w:val="none" w:sz="0" w:space="0" w:color="auto"/>
            <w:right w:val="none" w:sz="0" w:space="0" w:color="auto"/>
          </w:divBdr>
        </w:div>
        <w:div w:id="50811097">
          <w:marLeft w:val="0"/>
          <w:marRight w:val="0"/>
          <w:marTop w:val="0"/>
          <w:marBottom w:val="0"/>
          <w:divBdr>
            <w:top w:val="none" w:sz="0" w:space="0" w:color="auto"/>
            <w:left w:val="none" w:sz="0" w:space="0" w:color="auto"/>
            <w:bottom w:val="none" w:sz="0" w:space="0" w:color="auto"/>
            <w:right w:val="none" w:sz="0" w:space="0" w:color="auto"/>
          </w:divBdr>
        </w:div>
        <w:div w:id="54745667">
          <w:marLeft w:val="0"/>
          <w:marRight w:val="0"/>
          <w:marTop w:val="0"/>
          <w:marBottom w:val="0"/>
          <w:divBdr>
            <w:top w:val="none" w:sz="0" w:space="0" w:color="auto"/>
            <w:left w:val="none" w:sz="0" w:space="0" w:color="auto"/>
            <w:bottom w:val="none" w:sz="0" w:space="0" w:color="auto"/>
            <w:right w:val="none" w:sz="0" w:space="0" w:color="auto"/>
          </w:divBdr>
        </w:div>
        <w:div w:id="140392603">
          <w:marLeft w:val="0"/>
          <w:marRight w:val="0"/>
          <w:marTop w:val="0"/>
          <w:marBottom w:val="0"/>
          <w:divBdr>
            <w:top w:val="none" w:sz="0" w:space="0" w:color="auto"/>
            <w:left w:val="none" w:sz="0" w:space="0" w:color="auto"/>
            <w:bottom w:val="none" w:sz="0" w:space="0" w:color="auto"/>
            <w:right w:val="none" w:sz="0" w:space="0" w:color="auto"/>
          </w:divBdr>
        </w:div>
        <w:div w:id="157383380">
          <w:marLeft w:val="0"/>
          <w:marRight w:val="0"/>
          <w:marTop w:val="0"/>
          <w:marBottom w:val="0"/>
          <w:divBdr>
            <w:top w:val="none" w:sz="0" w:space="0" w:color="auto"/>
            <w:left w:val="none" w:sz="0" w:space="0" w:color="auto"/>
            <w:bottom w:val="none" w:sz="0" w:space="0" w:color="auto"/>
            <w:right w:val="none" w:sz="0" w:space="0" w:color="auto"/>
          </w:divBdr>
        </w:div>
        <w:div w:id="311057850">
          <w:marLeft w:val="0"/>
          <w:marRight w:val="0"/>
          <w:marTop w:val="0"/>
          <w:marBottom w:val="0"/>
          <w:divBdr>
            <w:top w:val="none" w:sz="0" w:space="0" w:color="auto"/>
            <w:left w:val="none" w:sz="0" w:space="0" w:color="auto"/>
            <w:bottom w:val="none" w:sz="0" w:space="0" w:color="auto"/>
            <w:right w:val="none" w:sz="0" w:space="0" w:color="auto"/>
          </w:divBdr>
        </w:div>
        <w:div w:id="396168609">
          <w:marLeft w:val="0"/>
          <w:marRight w:val="0"/>
          <w:marTop w:val="0"/>
          <w:marBottom w:val="0"/>
          <w:divBdr>
            <w:top w:val="none" w:sz="0" w:space="0" w:color="auto"/>
            <w:left w:val="none" w:sz="0" w:space="0" w:color="auto"/>
            <w:bottom w:val="none" w:sz="0" w:space="0" w:color="auto"/>
            <w:right w:val="none" w:sz="0" w:space="0" w:color="auto"/>
          </w:divBdr>
        </w:div>
        <w:div w:id="455830073">
          <w:marLeft w:val="0"/>
          <w:marRight w:val="0"/>
          <w:marTop w:val="0"/>
          <w:marBottom w:val="0"/>
          <w:divBdr>
            <w:top w:val="none" w:sz="0" w:space="0" w:color="auto"/>
            <w:left w:val="none" w:sz="0" w:space="0" w:color="auto"/>
            <w:bottom w:val="none" w:sz="0" w:space="0" w:color="auto"/>
            <w:right w:val="none" w:sz="0" w:space="0" w:color="auto"/>
          </w:divBdr>
        </w:div>
        <w:div w:id="548955041">
          <w:marLeft w:val="0"/>
          <w:marRight w:val="0"/>
          <w:marTop w:val="0"/>
          <w:marBottom w:val="0"/>
          <w:divBdr>
            <w:top w:val="none" w:sz="0" w:space="0" w:color="auto"/>
            <w:left w:val="none" w:sz="0" w:space="0" w:color="auto"/>
            <w:bottom w:val="none" w:sz="0" w:space="0" w:color="auto"/>
            <w:right w:val="none" w:sz="0" w:space="0" w:color="auto"/>
          </w:divBdr>
        </w:div>
        <w:div w:id="640111991">
          <w:marLeft w:val="0"/>
          <w:marRight w:val="0"/>
          <w:marTop w:val="0"/>
          <w:marBottom w:val="0"/>
          <w:divBdr>
            <w:top w:val="none" w:sz="0" w:space="0" w:color="auto"/>
            <w:left w:val="none" w:sz="0" w:space="0" w:color="auto"/>
            <w:bottom w:val="none" w:sz="0" w:space="0" w:color="auto"/>
            <w:right w:val="none" w:sz="0" w:space="0" w:color="auto"/>
          </w:divBdr>
        </w:div>
        <w:div w:id="662851531">
          <w:marLeft w:val="0"/>
          <w:marRight w:val="0"/>
          <w:marTop w:val="0"/>
          <w:marBottom w:val="0"/>
          <w:divBdr>
            <w:top w:val="none" w:sz="0" w:space="0" w:color="auto"/>
            <w:left w:val="none" w:sz="0" w:space="0" w:color="auto"/>
            <w:bottom w:val="none" w:sz="0" w:space="0" w:color="auto"/>
            <w:right w:val="none" w:sz="0" w:space="0" w:color="auto"/>
          </w:divBdr>
        </w:div>
        <w:div w:id="663970669">
          <w:marLeft w:val="0"/>
          <w:marRight w:val="0"/>
          <w:marTop w:val="0"/>
          <w:marBottom w:val="0"/>
          <w:divBdr>
            <w:top w:val="none" w:sz="0" w:space="0" w:color="auto"/>
            <w:left w:val="none" w:sz="0" w:space="0" w:color="auto"/>
            <w:bottom w:val="none" w:sz="0" w:space="0" w:color="auto"/>
            <w:right w:val="none" w:sz="0" w:space="0" w:color="auto"/>
          </w:divBdr>
        </w:div>
        <w:div w:id="686643009">
          <w:marLeft w:val="0"/>
          <w:marRight w:val="0"/>
          <w:marTop w:val="0"/>
          <w:marBottom w:val="0"/>
          <w:divBdr>
            <w:top w:val="none" w:sz="0" w:space="0" w:color="auto"/>
            <w:left w:val="none" w:sz="0" w:space="0" w:color="auto"/>
            <w:bottom w:val="none" w:sz="0" w:space="0" w:color="auto"/>
            <w:right w:val="none" w:sz="0" w:space="0" w:color="auto"/>
          </w:divBdr>
        </w:div>
        <w:div w:id="744111055">
          <w:marLeft w:val="0"/>
          <w:marRight w:val="0"/>
          <w:marTop w:val="0"/>
          <w:marBottom w:val="0"/>
          <w:divBdr>
            <w:top w:val="none" w:sz="0" w:space="0" w:color="auto"/>
            <w:left w:val="none" w:sz="0" w:space="0" w:color="auto"/>
            <w:bottom w:val="none" w:sz="0" w:space="0" w:color="auto"/>
            <w:right w:val="none" w:sz="0" w:space="0" w:color="auto"/>
          </w:divBdr>
        </w:div>
        <w:div w:id="754129057">
          <w:marLeft w:val="0"/>
          <w:marRight w:val="0"/>
          <w:marTop w:val="0"/>
          <w:marBottom w:val="0"/>
          <w:divBdr>
            <w:top w:val="none" w:sz="0" w:space="0" w:color="auto"/>
            <w:left w:val="none" w:sz="0" w:space="0" w:color="auto"/>
            <w:bottom w:val="none" w:sz="0" w:space="0" w:color="auto"/>
            <w:right w:val="none" w:sz="0" w:space="0" w:color="auto"/>
          </w:divBdr>
        </w:div>
        <w:div w:id="777332855">
          <w:marLeft w:val="0"/>
          <w:marRight w:val="0"/>
          <w:marTop w:val="0"/>
          <w:marBottom w:val="0"/>
          <w:divBdr>
            <w:top w:val="none" w:sz="0" w:space="0" w:color="auto"/>
            <w:left w:val="none" w:sz="0" w:space="0" w:color="auto"/>
            <w:bottom w:val="none" w:sz="0" w:space="0" w:color="auto"/>
            <w:right w:val="none" w:sz="0" w:space="0" w:color="auto"/>
          </w:divBdr>
        </w:div>
        <w:div w:id="829444826">
          <w:marLeft w:val="0"/>
          <w:marRight w:val="0"/>
          <w:marTop w:val="0"/>
          <w:marBottom w:val="0"/>
          <w:divBdr>
            <w:top w:val="none" w:sz="0" w:space="0" w:color="auto"/>
            <w:left w:val="none" w:sz="0" w:space="0" w:color="auto"/>
            <w:bottom w:val="none" w:sz="0" w:space="0" w:color="auto"/>
            <w:right w:val="none" w:sz="0" w:space="0" w:color="auto"/>
          </w:divBdr>
        </w:div>
        <w:div w:id="923414372">
          <w:marLeft w:val="0"/>
          <w:marRight w:val="0"/>
          <w:marTop w:val="0"/>
          <w:marBottom w:val="0"/>
          <w:divBdr>
            <w:top w:val="none" w:sz="0" w:space="0" w:color="auto"/>
            <w:left w:val="none" w:sz="0" w:space="0" w:color="auto"/>
            <w:bottom w:val="none" w:sz="0" w:space="0" w:color="auto"/>
            <w:right w:val="none" w:sz="0" w:space="0" w:color="auto"/>
          </w:divBdr>
        </w:div>
        <w:div w:id="927931859">
          <w:marLeft w:val="0"/>
          <w:marRight w:val="0"/>
          <w:marTop w:val="0"/>
          <w:marBottom w:val="0"/>
          <w:divBdr>
            <w:top w:val="none" w:sz="0" w:space="0" w:color="auto"/>
            <w:left w:val="none" w:sz="0" w:space="0" w:color="auto"/>
            <w:bottom w:val="none" w:sz="0" w:space="0" w:color="auto"/>
            <w:right w:val="none" w:sz="0" w:space="0" w:color="auto"/>
          </w:divBdr>
        </w:div>
        <w:div w:id="930360998">
          <w:marLeft w:val="0"/>
          <w:marRight w:val="0"/>
          <w:marTop w:val="0"/>
          <w:marBottom w:val="0"/>
          <w:divBdr>
            <w:top w:val="none" w:sz="0" w:space="0" w:color="auto"/>
            <w:left w:val="none" w:sz="0" w:space="0" w:color="auto"/>
            <w:bottom w:val="none" w:sz="0" w:space="0" w:color="auto"/>
            <w:right w:val="none" w:sz="0" w:space="0" w:color="auto"/>
          </w:divBdr>
        </w:div>
        <w:div w:id="1037202055">
          <w:marLeft w:val="0"/>
          <w:marRight w:val="0"/>
          <w:marTop w:val="0"/>
          <w:marBottom w:val="0"/>
          <w:divBdr>
            <w:top w:val="none" w:sz="0" w:space="0" w:color="auto"/>
            <w:left w:val="none" w:sz="0" w:space="0" w:color="auto"/>
            <w:bottom w:val="none" w:sz="0" w:space="0" w:color="auto"/>
            <w:right w:val="none" w:sz="0" w:space="0" w:color="auto"/>
          </w:divBdr>
        </w:div>
        <w:div w:id="1037463389">
          <w:marLeft w:val="0"/>
          <w:marRight w:val="0"/>
          <w:marTop w:val="0"/>
          <w:marBottom w:val="0"/>
          <w:divBdr>
            <w:top w:val="none" w:sz="0" w:space="0" w:color="auto"/>
            <w:left w:val="none" w:sz="0" w:space="0" w:color="auto"/>
            <w:bottom w:val="none" w:sz="0" w:space="0" w:color="auto"/>
            <w:right w:val="none" w:sz="0" w:space="0" w:color="auto"/>
          </w:divBdr>
        </w:div>
        <w:div w:id="1077442554">
          <w:marLeft w:val="0"/>
          <w:marRight w:val="0"/>
          <w:marTop w:val="0"/>
          <w:marBottom w:val="0"/>
          <w:divBdr>
            <w:top w:val="none" w:sz="0" w:space="0" w:color="auto"/>
            <w:left w:val="none" w:sz="0" w:space="0" w:color="auto"/>
            <w:bottom w:val="none" w:sz="0" w:space="0" w:color="auto"/>
            <w:right w:val="none" w:sz="0" w:space="0" w:color="auto"/>
          </w:divBdr>
        </w:div>
        <w:div w:id="1145313951">
          <w:marLeft w:val="0"/>
          <w:marRight w:val="0"/>
          <w:marTop w:val="0"/>
          <w:marBottom w:val="0"/>
          <w:divBdr>
            <w:top w:val="none" w:sz="0" w:space="0" w:color="auto"/>
            <w:left w:val="none" w:sz="0" w:space="0" w:color="auto"/>
            <w:bottom w:val="none" w:sz="0" w:space="0" w:color="auto"/>
            <w:right w:val="none" w:sz="0" w:space="0" w:color="auto"/>
          </w:divBdr>
        </w:div>
        <w:div w:id="1171674471">
          <w:marLeft w:val="0"/>
          <w:marRight w:val="0"/>
          <w:marTop w:val="0"/>
          <w:marBottom w:val="0"/>
          <w:divBdr>
            <w:top w:val="none" w:sz="0" w:space="0" w:color="auto"/>
            <w:left w:val="none" w:sz="0" w:space="0" w:color="auto"/>
            <w:bottom w:val="none" w:sz="0" w:space="0" w:color="auto"/>
            <w:right w:val="none" w:sz="0" w:space="0" w:color="auto"/>
          </w:divBdr>
        </w:div>
        <w:div w:id="1194656188">
          <w:marLeft w:val="0"/>
          <w:marRight w:val="0"/>
          <w:marTop w:val="0"/>
          <w:marBottom w:val="0"/>
          <w:divBdr>
            <w:top w:val="none" w:sz="0" w:space="0" w:color="auto"/>
            <w:left w:val="none" w:sz="0" w:space="0" w:color="auto"/>
            <w:bottom w:val="none" w:sz="0" w:space="0" w:color="auto"/>
            <w:right w:val="none" w:sz="0" w:space="0" w:color="auto"/>
          </w:divBdr>
        </w:div>
        <w:div w:id="1197154888">
          <w:marLeft w:val="0"/>
          <w:marRight w:val="0"/>
          <w:marTop w:val="0"/>
          <w:marBottom w:val="0"/>
          <w:divBdr>
            <w:top w:val="none" w:sz="0" w:space="0" w:color="auto"/>
            <w:left w:val="none" w:sz="0" w:space="0" w:color="auto"/>
            <w:bottom w:val="none" w:sz="0" w:space="0" w:color="auto"/>
            <w:right w:val="none" w:sz="0" w:space="0" w:color="auto"/>
          </w:divBdr>
        </w:div>
        <w:div w:id="1236622318">
          <w:marLeft w:val="0"/>
          <w:marRight w:val="0"/>
          <w:marTop w:val="0"/>
          <w:marBottom w:val="0"/>
          <w:divBdr>
            <w:top w:val="none" w:sz="0" w:space="0" w:color="auto"/>
            <w:left w:val="none" w:sz="0" w:space="0" w:color="auto"/>
            <w:bottom w:val="none" w:sz="0" w:space="0" w:color="auto"/>
            <w:right w:val="none" w:sz="0" w:space="0" w:color="auto"/>
          </w:divBdr>
        </w:div>
        <w:div w:id="1244607345">
          <w:marLeft w:val="0"/>
          <w:marRight w:val="0"/>
          <w:marTop w:val="0"/>
          <w:marBottom w:val="0"/>
          <w:divBdr>
            <w:top w:val="none" w:sz="0" w:space="0" w:color="auto"/>
            <w:left w:val="none" w:sz="0" w:space="0" w:color="auto"/>
            <w:bottom w:val="none" w:sz="0" w:space="0" w:color="auto"/>
            <w:right w:val="none" w:sz="0" w:space="0" w:color="auto"/>
          </w:divBdr>
        </w:div>
        <w:div w:id="1336542086">
          <w:marLeft w:val="0"/>
          <w:marRight w:val="0"/>
          <w:marTop w:val="0"/>
          <w:marBottom w:val="0"/>
          <w:divBdr>
            <w:top w:val="none" w:sz="0" w:space="0" w:color="auto"/>
            <w:left w:val="none" w:sz="0" w:space="0" w:color="auto"/>
            <w:bottom w:val="none" w:sz="0" w:space="0" w:color="auto"/>
            <w:right w:val="none" w:sz="0" w:space="0" w:color="auto"/>
          </w:divBdr>
        </w:div>
        <w:div w:id="1342662227">
          <w:marLeft w:val="0"/>
          <w:marRight w:val="0"/>
          <w:marTop w:val="0"/>
          <w:marBottom w:val="0"/>
          <w:divBdr>
            <w:top w:val="none" w:sz="0" w:space="0" w:color="auto"/>
            <w:left w:val="none" w:sz="0" w:space="0" w:color="auto"/>
            <w:bottom w:val="none" w:sz="0" w:space="0" w:color="auto"/>
            <w:right w:val="none" w:sz="0" w:space="0" w:color="auto"/>
          </w:divBdr>
        </w:div>
        <w:div w:id="1415666981">
          <w:marLeft w:val="0"/>
          <w:marRight w:val="0"/>
          <w:marTop w:val="0"/>
          <w:marBottom w:val="0"/>
          <w:divBdr>
            <w:top w:val="none" w:sz="0" w:space="0" w:color="auto"/>
            <w:left w:val="none" w:sz="0" w:space="0" w:color="auto"/>
            <w:bottom w:val="none" w:sz="0" w:space="0" w:color="auto"/>
            <w:right w:val="none" w:sz="0" w:space="0" w:color="auto"/>
          </w:divBdr>
        </w:div>
        <w:div w:id="1433933354">
          <w:marLeft w:val="0"/>
          <w:marRight w:val="0"/>
          <w:marTop w:val="0"/>
          <w:marBottom w:val="0"/>
          <w:divBdr>
            <w:top w:val="none" w:sz="0" w:space="0" w:color="auto"/>
            <w:left w:val="none" w:sz="0" w:space="0" w:color="auto"/>
            <w:bottom w:val="none" w:sz="0" w:space="0" w:color="auto"/>
            <w:right w:val="none" w:sz="0" w:space="0" w:color="auto"/>
          </w:divBdr>
        </w:div>
        <w:div w:id="1460956918">
          <w:marLeft w:val="0"/>
          <w:marRight w:val="0"/>
          <w:marTop w:val="0"/>
          <w:marBottom w:val="0"/>
          <w:divBdr>
            <w:top w:val="none" w:sz="0" w:space="0" w:color="auto"/>
            <w:left w:val="none" w:sz="0" w:space="0" w:color="auto"/>
            <w:bottom w:val="none" w:sz="0" w:space="0" w:color="auto"/>
            <w:right w:val="none" w:sz="0" w:space="0" w:color="auto"/>
          </w:divBdr>
        </w:div>
        <w:div w:id="1541742900">
          <w:marLeft w:val="0"/>
          <w:marRight w:val="0"/>
          <w:marTop w:val="0"/>
          <w:marBottom w:val="0"/>
          <w:divBdr>
            <w:top w:val="none" w:sz="0" w:space="0" w:color="auto"/>
            <w:left w:val="none" w:sz="0" w:space="0" w:color="auto"/>
            <w:bottom w:val="none" w:sz="0" w:space="0" w:color="auto"/>
            <w:right w:val="none" w:sz="0" w:space="0" w:color="auto"/>
          </w:divBdr>
        </w:div>
        <w:div w:id="1591354025">
          <w:marLeft w:val="0"/>
          <w:marRight w:val="0"/>
          <w:marTop w:val="0"/>
          <w:marBottom w:val="0"/>
          <w:divBdr>
            <w:top w:val="none" w:sz="0" w:space="0" w:color="auto"/>
            <w:left w:val="none" w:sz="0" w:space="0" w:color="auto"/>
            <w:bottom w:val="none" w:sz="0" w:space="0" w:color="auto"/>
            <w:right w:val="none" w:sz="0" w:space="0" w:color="auto"/>
          </w:divBdr>
        </w:div>
        <w:div w:id="1620722033">
          <w:marLeft w:val="0"/>
          <w:marRight w:val="0"/>
          <w:marTop w:val="0"/>
          <w:marBottom w:val="0"/>
          <w:divBdr>
            <w:top w:val="none" w:sz="0" w:space="0" w:color="auto"/>
            <w:left w:val="none" w:sz="0" w:space="0" w:color="auto"/>
            <w:bottom w:val="none" w:sz="0" w:space="0" w:color="auto"/>
            <w:right w:val="none" w:sz="0" w:space="0" w:color="auto"/>
          </w:divBdr>
        </w:div>
        <w:div w:id="1624267287">
          <w:marLeft w:val="0"/>
          <w:marRight w:val="0"/>
          <w:marTop w:val="0"/>
          <w:marBottom w:val="0"/>
          <w:divBdr>
            <w:top w:val="none" w:sz="0" w:space="0" w:color="auto"/>
            <w:left w:val="none" w:sz="0" w:space="0" w:color="auto"/>
            <w:bottom w:val="none" w:sz="0" w:space="0" w:color="auto"/>
            <w:right w:val="none" w:sz="0" w:space="0" w:color="auto"/>
          </w:divBdr>
        </w:div>
        <w:div w:id="1784420667">
          <w:marLeft w:val="0"/>
          <w:marRight w:val="0"/>
          <w:marTop w:val="0"/>
          <w:marBottom w:val="0"/>
          <w:divBdr>
            <w:top w:val="none" w:sz="0" w:space="0" w:color="auto"/>
            <w:left w:val="none" w:sz="0" w:space="0" w:color="auto"/>
            <w:bottom w:val="none" w:sz="0" w:space="0" w:color="auto"/>
            <w:right w:val="none" w:sz="0" w:space="0" w:color="auto"/>
          </w:divBdr>
        </w:div>
        <w:div w:id="1820416911">
          <w:marLeft w:val="0"/>
          <w:marRight w:val="0"/>
          <w:marTop w:val="0"/>
          <w:marBottom w:val="0"/>
          <w:divBdr>
            <w:top w:val="none" w:sz="0" w:space="0" w:color="auto"/>
            <w:left w:val="none" w:sz="0" w:space="0" w:color="auto"/>
            <w:bottom w:val="none" w:sz="0" w:space="0" w:color="auto"/>
            <w:right w:val="none" w:sz="0" w:space="0" w:color="auto"/>
          </w:divBdr>
        </w:div>
        <w:div w:id="1827359975">
          <w:marLeft w:val="0"/>
          <w:marRight w:val="0"/>
          <w:marTop w:val="0"/>
          <w:marBottom w:val="0"/>
          <w:divBdr>
            <w:top w:val="none" w:sz="0" w:space="0" w:color="auto"/>
            <w:left w:val="none" w:sz="0" w:space="0" w:color="auto"/>
            <w:bottom w:val="none" w:sz="0" w:space="0" w:color="auto"/>
            <w:right w:val="none" w:sz="0" w:space="0" w:color="auto"/>
          </w:divBdr>
        </w:div>
        <w:div w:id="1893419731">
          <w:marLeft w:val="0"/>
          <w:marRight w:val="0"/>
          <w:marTop w:val="0"/>
          <w:marBottom w:val="0"/>
          <w:divBdr>
            <w:top w:val="none" w:sz="0" w:space="0" w:color="auto"/>
            <w:left w:val="none" w:sz="0" w:space="0" w:color="auto"/>
            <w:bottom w:val="none" w:sz="0" w:space="0" w:color="auto"/>
            <w:right w:val="none" w:sz="0" w:space="0" w:color="auto"/>
          </w:divBdr>
        </w:div>
        <w:div w:id="1901819403">
          <w:marLeft w:val="0"/>
          <w:marRight w:val="0"/>
          <w:marTop w:val="0"/>
          <w:marBottom w:val="0"/>
          <w:divBdr>
            <w:top w:val="none" w:sz="0" w:space="0" w:color="auto"/>
            <w:left w:val="none" w:sz="0" w:space="0" w:color="auto"/>
            <w:bottom w:val="none" w:sz="0" w:space="0" w:color="auto"/>
            <w:right w:val="none" w:sz="0" w:space="0" w:color="auto"/>
          </w:divBdr>
        </w:div>
        <w:div w:id="1951156297">
          <w:marLeft w:val="0"/>
          <w:marRight w:val="0"/>
          <w:marTop w:val="0"/>
          <w:marBottom w:val="0"/>
          <w:divBdr>
            <w:top w:val="none" w:sz="0" w:space="0" w:color="auto"/>
            <w:left w:val="none" w:sz="0" w:space="0" w:color="auto"/>
            <w:bottom w:val="none" w:sz="0" w:space="0" w:color="auto"/>
            <w:right w:val="none" w:sz="0" w:space="0" w:color="auto"/>
          </w:divBdr>
        </w:div>
        <w:div w:id="2069499073">
          <w:marLeft w:val="0"/>
          <w:marRight w:val="0"/>
          <w:marTop w:val="0"/>
          <w:marBottom w:val="0"/>
          <w:divBdr>
            <w:top w:val="none" w:sz="0" w:space="0" w:color="auto"/>
            <w:left w:val="none" w:sz="0" w:space="0" w:color="auto"/>
            <w:bottom w:val="none" w:sz="0" w:space="0" w:color="auto"/>
            <w:right w:val="none" w:sz="0" w:space="0" w:color="auto"/>
          </w:divBdr>
        </w:div>
        <w:div w:id="2106026940">
          <w:marLeft w:val="0"/>
          <w:marRight w:val="0"/>
          <w:marTop w:val="0"/>
          <w:marBottom w:val="0"/>
          <w:divBdr>
            <w:top w:val="none" w:sz="0" w:space="0" w:color="auto"/>
            <w:left w:val="none" w:sz="0" w:space="0" w:color="auto"/>
            <w:bottom w:val="none" w:sz="0" w:space="0" w:color="auto"/>
            <w:right w:val="none" w:sz="0" w:space="0" w:color="auto"/>
          </w:divBdr>
        </w:div>
        <w:div w:id="2112771410">
          <w:marLeft w:val="0"/>
          <w:marRight w:val="0"/>
          <w:marTop w:val="0"/>
          <w:marBottom w:val="0"/>
          <w:divBdr>
            <w:top w:val="none" w:sz="0" w:space="0" w:color="auto"/>
            <w:left w:val="none" w:sz="0" w:space="0" w:color="auto"/>
            <w:bottom w:val="none" w:sz="0" w:space="0" w:color="auto"/>
            <w:right w:val="none" w:sz="0" w:space="0" w:color="auto"/>
          </w:divBdr>
        </w:div>
      </w:divsChild>
    </w:div>
    <w:div w:id="1154225989">
      <w:bodyDiv w:val="1"/>
      <w:marLeft w:val="0"/>
      <w:marRight w:val="0"/>
      <w:marTop w:val="0"/>
      <w:marBottom w:val="0"/>
      <w:divBdr>
        <w:top w:val="none" w:sz="0" w:space="0" w:color="auto"/>
        <w:left w:val="none" w:sz="0" w:space="0" w:color="auto"/>
        <w:bottom w:val="none" w:sz="0" w:space="0" w:color="auto"/>
        <w:right w:val="none" w:sz="0" w:space="0" w:color="auto"/>
      </w:divBdr>
    </w:div>
    <w:div w:id="1555850452">
      <w:bodyDiv w:val="1"/>
      <w:marLeft w:val="0"/>
      <w:marRight w:val="0"/>
      <w:marTop w:val="0"/>
      <w:marBottom w:val="0"/>
      <w:divBdr>
        <w:top w:val="none" w:sz="0" w:space="0" w:color="auto"/>
        <w:left w:val="none" w:sz="0" w:space="0" w:color="auto"/>
        <w:bottom w:val="none" w:sz="0" w:space="0" w:color="auto"/>
        <w:right w:val="none" w:sz="0" w:space="0" w:color="auto"/>
      </w:divBdr>
      <w:divsChild>
        <w:div w:id="85760">
          <w:marLeft w:val="0"/>
          <w:marRight w:val="0"/>
          <w:marTop w:val="0"/>
          <w:marBottom w:val="0"/>
          <w:divBdr>
            <w:top w:val="none" w:sz="0" w:space="0" w:color="auto"/>
            <w:left w:val="none" w:sz="0" w:space="0" w:color="auto"/>
            <w:bottom w:val="none" w:sz="0" w:space="0" w:color="auto"/>
            <w:right w:val="none" w:sz="0" w:space="0" w:color="auto"/>
          </w:divBdr>
        </w:div>
        <w:div w:id="32971594">
          <w:marLeft w:val="0"/>
          <w:marRight w:val="0"/>
          <w:marTop w:val="0"/>
          <w:marBottom w:val="0"/>
          <w:divBdr>
            <w:top w:val="none" w:sz="0" w:space="0" w:color="auto"/>
            <w:left w:val="none" w:sz="0" w:space="0" w:color="auto"/>
            <w:bottom w:val="none" w:sz="0" w:space="0" w:color="auto"/>
            <w:right w:val="none" w:sz="0" w:space="0" w:color="auto"/>
          </w:divBdr>
        </w:div>
        <w:div w:id="135420072">
          <w:marLeft w:val="0"/>
          <w:marRight w:val="0"/>
          <w:marTop w:val="0"/>
          <w:marBottom w:val="0"/>
          <w:divBdr>
            <w:top w:val="none" w:sz="0" w:space="0" w:color="auto"/>
            <w:left w:val="none" w:sz="0" w:space="0" w:color="auto"/>
            <w:bottom w:val="none" w:sz="0" w:space="0" w:color="auto"/>
            <w:right w:val="none" w:sz="0" w:space="0" w:color="auto"/>
          </w:divBdr>
        </w:div>
        <w:div w:id="240451926">
          <w:marLeft w:val="0"/>
          <w:marRight w:val="0"/>
          <w:marTop w:val="0"/>
          <w:marBottom w:val="0"/>
          <w:divBdr>
            <w:top w:val="none" w:sz="0" w:space="0" w:color="auto"/>
            <w:left w:val="none" w:sz="0" w:space="0" w:color="auto"/>
            <w:bottom w:val="none" w:sz="0" w:space="0" w:color="auto"/>
            <w:right w:val="none" w:sz="0" w:space="0" w:color="auto"/>
          </w:divBdr>
        </w:div>
        <w:div w:id="282538724">
          <w:marLeft w:val="0"/>
          <w:marRight w:val="0"/>
          <w:marTop w:val="0"/>
          <w:marBottom w:val="0"/>
          <w:divBdr>
            <w:top w:val="none" w:sz="0" w:space="0" w:color="auto"/>
            <w:left w:val="none" w:sz="0" w:space="0" w:color="auto"/>
            <w:bottom w:val="none" w:sz="0" w:space="0" w:color="auto"/>
            <w:right w:val="none" w:sz="0" w:space="0" w:color="auto"/>
          </w:divBdr>
        </w:div>
        <w:div w:id="286788333">
          <w:marLeft w:val="0"/>
          <w:marRight w:val="0"/>
          <w:marTop w:val="0"/>
          <w:marBottom w:val="0"/>
          <w:divBdr>
            <w:top w:val="none" w:sz="0" w:space="0" w:color="auto"/>
            <w:left w:val="none" w:sz="0" w:space="0" w:color="auto"/>
            <w:bottom w:val="none" w:sz="0" w:space="0" w:color="auto"/>
            <w:right w:val="none" w:sz="0" w:space="0" w:color="auto"/>
          </w:divBdr>
        </w:div>
        <w:div w:id="415250310">
          <w:marLeft w:val="0"/>
          <w:marRight w:val="0"/>
          <w:marTop w:val="0"/>
          <w:marBottom w:val="0"/>
          <w:divBdr>
            <w:top w:val="none" w:sz="0" w:space="0" w:color="auto"/>
            <w:left w:val="none" w:sz="0" w:space="0" w:color="auto"/>
            <w:bottom w:val="none" w:sz="0" w:space="0" w:color="auto"/>
            <w:right w:val="none" w:sz="0" w:space="0" w:color="auto"/>
          </w:divBdr>
        </w:div>
        <w:div w:id="439183692">
          <w:marLeft w:val="0"/>
          <w:marRight w:val="0"/>
          <w:marTop w:val="0"/>
          <w:marBottom w:val="0"/>
          <w:divBdr>
            <w:top w:val="none" w:sz="0" w:space="0" w:color="auto"/>
            <w:left w:val="none" w:sz="0" w:space="0" w:color="auto"/>
            <w:bottom w:val="none" w:sz="0" w:space="0" w:color="auto"/>
            <w:right w:val="none" w:sz="0" w:space="0" w:color="auto"/>
          </w:divBdr>
        </w:div>
        <w:div w:id="503132064">
          <w:marLeft w:val="0"/>
          <w:marRight w:val="0"/>
          <w:marTop w:val="0"/>
          <w:marBottom w:val="0"/>
          <w:divBdr>
            <w:top w:val="none" w:sz="0" w:space="0" w:color="auto"/>
            <w:left w:val="none" w:sz="0" w:space="0" w:color="auto"/>
            <w:bottom w:val="none" w:sz="0" w:space="0" w:color="auto"/>
            <w:right w:val="none" w:sz="0" w:space="0" w:color="auto"/>
          </w:divBdr>
        </w:div>
        <w:div w:id="568464261">
          <w:marLeft w:val="0"/>
          <w:marRight w:val="0"/>
          <w:marTop w:val="0"/>
          <w:marBottom w:val="0"/>
          <w:divBdr>
            <w:top w:val="none" w:sz="0" w:space="0" w:color="auto"/>
            <w:left w:val="none" w:sz="0" w:space="0" w:color="auto"/>
            <w:bottom w:val="none" w:sz="0" w:space="0" w:color="auto"/>
            <w:right w:val="none" w:sz="0" w:space="0" w:color="auto"/>
          </w:divBdr>
        </w:div>
        <w:div w:id="586772556">
          <w:marLeft w:val="0"/>
          <w:marRight w:val="0"/>
          <w:marTop w:val="0"/>
          <w:marBottom w:val="0"/>
          <w:divBdr>
            <w:top w:val="none" w:sz="0" w:space="0" w:color="auto"/>
            <w:left w:val="none" w:sz="0" w:space="0" w:color="auto"/>
            <w:bottom w:val="none" w:sz="0" w:space="0" w:color="auto"/>
            <w:right w:val="none" w:sz="0" w:space="0" w:color="auto"/>
          </w:divBdr>
        </w:div>
        <w:div w:id="647513578">
          <w:marLeft w:val="0"/>
          <w:marRight w:val="0"/>
          <w:marTop w:val="0"/>
          <w:marBottom w:val="0"/>
          <w:divBdr>
            <w:top w:val="none" w:sz="0" w:space="0" w:color="auto"/>
            <w:left w:val="none" w:sz="0" w:space="0" w:color="auto"/>
            <w:bottom w:val="none" w:sz="0" w:space="0" w:color="auto"/>
            <w:right w:val="none" w:sz="0" w:space="0" w:color="auto"/>
          </w:divBdr>
        </w:div>
        <w:div w:id="752581185">
          <w:marLeft w:val="0"/>
          <w:marRight w:val="0"/>
          <w:marTop w:val="0"/>
          <w:marBottom w:val="0"/>
          <w:divBdr>
            <w:top w:val="none" w:sz="0" w:space="0" w:color="auto"/>
            <w:left w:val="none" w:sz="0" w:space="0" w:color="auto"/>
            <w:bottom w:val="none" w:sz="0" w:space="0" w:color="auto"/>
            <w:right w:val="none" w:sz="0" w:space="0" w:color="auto"/>
          </w:divBdr>
        </w:div>
        <w:div w:id="760682168">
          <w:marLeft w:val="0"/>
          <w:marRight w:val="0"/>
          <w:marTop w:val="0"/>
          <w:marBottom w:val="0"/>
          <w:divBdr>
            <w:top w:val="none" w:sz="0" w:space="0" w:color="auto"/>
            <w:left w:val="none" w:sz="0" w:space="0" w:color="auto"/>
            <w:bottom w:val="none" w:sz="0" w:space="0" w:color="auto"/>
            <w:right w:val="none" w:sz="0" w:space="0" w:color="auto"/>
          </w:divBdr>
        </w:div>
        <w:div w:id="858541437">
          <w:marLeft w:val="0"/>
          <w:marRight w:val="0"/>
          <w:marTop w:val="0"/>
          <w:marBottom w:val="0"/>
          <w:divBdr>
            <w:top w:val="none" w:sz="0" w:space="0" w:color="auto"/>
            <w:left w:val="none" w:sz="0" w:space="0" w:color="auto"/>
            <w:bottom w:val="none" w:sz="0" w:space="0" w:color="auto"/>
            <w:right w:val="none" w:sz="0" w:space="0" w:color="auto"/>
          </w:divBdr>
        </w:div>
        <w:div w:id="883640718">
          <w:marLeft w:val="0"/>
          <w:marRight w:val="0"/>
          <w:marTop w:val="0"/>
          <w:marBottom w:val="0"/>
          <w:divBdr>
            <w:top w:val="none" w:sz="0" w:space="0" w:color="auto"/>
            <w:left w:val="none" w:sz="0" w:space="0" w:color="auto"/>
            <w:bottom w:val="none" w:sz="0" w:space="0" w:color="auto"/>
            <w:right w:val="none" w:sz="0" w:space="0" w:color="auto"/>
          </w:divBdr>
        </w:div>
        <w:div w:id="925110366">
          <w:marLeft w:val="0"/>
          <w:marRight w:val="0"/>
          <w:marTop w:val="0"/>
          <w:marBottom w:val="0"/>
          <w:divBdr>
            <w:top w:val="none" w:sz="0" w:space="0" w:color="auto"/>
            <w:left w:val="none" w:sz="0" w:space="0" w:color="auto"/>
            <w:bottom w:val="none" w:sz="0" w:space="0" w:color="auto"/>
            <w:right w:val="none" w:sz="0" w:space="0" w:color="auto"/>
          </w:divBdr>
        </w:div>
        <w:div w:id="935750476">
          <w:marLeft w:val="0"/>
          <w:marRight w:val="0"/>
          <w:marTop w:val="0"/>
          <w:marBottom w:val="0"/>
          <w:divBdr>
            <w:top w:val="none" w:sz="0" w:space="0" w:color="auto"/>
            <w:left w:val="none" w:sz="0" w:space="0" w:color="auto"/>
            <w:bottom w:val="none" w:sz="0" w:space="0" w:color="auto"/>
            <w:right w:val="none" w:sz="0" w:space="0" w:color="auto"/>
          </w:divBdr>
        </w:div>
        <w:div w:id="943076034">
          <w:marLeft w:val="0"/>
          <w:marRight w:val="0"/>
          <w:marTop w:val="0"/>
          <w:marBottom w:val="0"/>
          <w:divBdr>
            <w:top w:val="none" w:sz="0" w:space="0" w:color="auto"/>
            <w:left w:val="none" w:sz="0" w:space="0" w:color="auto"/>
            <w:bottom w:val="none" w:sz="0" w:space="0" w:color="auto"/>
            <w:right w:val="none" w:sz="0" w:space="0" w:color="auto"/>
          </w:divBdr>
        </w:div>
        <w:div w:id="956108387">
          <w:marLeft w:val="0"/>
          <w:marRight w:val="0"/>
          <w:marTop w:val="0"/>
          <w:marBottom w:val="0"/>
          <w:divBdr>
            <w:top w:val="none" w:sz="0" w:space="0" w:color="auto"/>
            <w:left w:val="none" w:sz="0" w:space="0" w:color="auto"/>
            <w:bottom w:val="none" w:sz="0" w:space="0" w:color="auto"/>
            <w:right w:val="none" w:sz="0" w:space="0" w:color="auto"/>
          </w:divBdr>
        </w:div>
        <w:div w:id="1081950992">
          <w:marLeft w:val="0"/>
          <w:marRight w:val="0"/>
          <w:marTop w:val="0"/>
          <w:marBottom w:val="0"/>
          <w:divBdr>
            <w:top w:val="none" w:sz="0" w:space="0" w:color="auto"/>
            <w:left w:val="none" w:sz="0" w:space="0" w:color="auto"/>
            <w:bottom w:val="none" w:sz="0" w:space="0" w:color="auto"/>
            <w:right w:val="none" w:sz="0" w:space="0" w:color="auto"/>
          </w:divBdr>
        </w:div>
        <w:div w:id="1082604414">
          <w:marLeft w:val="0"/>
          <w:marRight w:val="0"/>
          <w:marTop w:val="0"/>
          <w:marBottom w:val="0"/>
          <w:divBdr>
            <w:top w:val="none" w:sz="0" w:space="0" w:color="auto"/>
            <w:left w:val="none" w:sz="0" w:space="0" w:color="auto"/>
            <w:bottom w:val="none" w:sz="0" w:space="0" w:color="auto"/>
            <w:right w:val="none" w:sz="0" w:space="0" w:color="auto"/>
          </w:divBdr>
        </w:div>
        <w:div w:id="1137406817">
          <w:marLeft w:val="0"/>
          <w:marRight w:val="0"/>
          <w:marTop w:val="0"/>
          <w:marBottom w:val="0"/>
          <w:divBdr>
            <w:top w:val="none" w:sz="0" w:space="0" w:color="auto"/>
            <w:left w:val="none" w:sz="0" w:space="0" w:color="auto"/>
            <w:bottom w:val="none" w:sz="0" w:space="0" w:color="auto"/>
            <w:right w:val="none" w:sz="0" w:space="0" w:color="auto"/>
          </w:divBdr>
        </w:div>
        <w:div w:id="1145506985">
          <w:marLeft w:val="0"/>
          <w:marRight w:val="0"/>
          <w:marTop w:val="0"/>
          <w:marBottom w:val="0"/>
          <w:divBdr>
            <w:top w:val="none" w:sz="0" w:space="0" w:color="auto"/>
            <w:left w:val="none" w:sz="0" w:space="0" w:color="auto"/>
            <w:bottom w:val="none" w:sz="0" w:space="0" w:color="auto"/>
            <w:right w:val="none" w:sz="0" w:space="0" w:color="auto"/>
          </w:divBdr>
        </w:div>
        <w:div w:id="1150245010">
          <w:marLeft w:val="0"/>
          <w:marRight w:val="0"/>
          <w:marTop w:val="0"/>
          <w:marBottom w:val="0"/>
          <w:divBdr>
            <w:top w:val="none" w:sz="0" w:space="0" w:color="auto"/>
            <w:left w:val="none" w:sz="0" w:space="0" w:color="auto"/>
            <w:bottom w:val="none" w:sz="0" w:space="0" w:color="auto"/>
            <w:right w:val="none" w:sz="0" w:space="0" w:color="auto"/>
          </w:divBdr>
        </w:div>
        <w:div w:id="1209611186">
          <w:marLeft w:val="0"/>
          <w:marRight w:val="0"/>
          <w:marTop w:val="0"/>
          <w:marBottom w:val="0"/>
          <w:divBdr>
            <w:top w:val="none" w:sz="0" w:space="0" w:color="auto"/>
            <w:left w:val="none" w:sz="0" w:space="0" w:color="auto"/>
            <w:bottom w:val="none" w:sz="0" w:space="0" w:color="auto"/>
            <w:right w:val="none" w:sz="0" w:space="0" w:color="auto"/>
          </w:divBdr>
        </w:div>
        <w:div w:id="1288855644">
          <w:marLeft w:val="0"/>
          <w:marRight w:val="0"/>
          <w:marTop w:val="0"/>
          <w:marBottom w:val="0"/>
          <w:divBdr>
            <w:top w:val="none" w:sz="0" w:space="0" w:color="auto"/>
            <w:left w:val="none" w:sz="0" w:space="0" w:color="auto"/>
            <w:bottom w:val="none" w:sz="0" w:space="0" w:color="auto"/>
            <w:right w:val="none" w:sz="0" w:space="0" w:color="auto"/>
          </w:divBdr>
        </w:div>
        <w:div w:id="1304041768">
          <w:marLeft w:val="0"/>
          <w:marRight w:val="0"/>
          <w:marTop w:val="0"/>
          <w:marBottom w:val="0"/>
          <w:divBdr>
            <w:top w:val="none" w:sz="0" w:space="0" w:color="auto"/>
            <w:left w:val="none" w:sz="0" w:space="0" w:color="auto"/>
            <w:bottom w:val="none" w:sz="0" w:space="0" w:color="auto"/>
            <w:right w:val="none" w:sz="0" w:space="0" w:color="auto"/>
          </w:divBdr>
        </w:div>
        <w:div w:id="1362121795">
          <w:marLeft w:val="0"/>
          <w:marRight w:val="0"/>
          <w:marTop w:val="0"/>
          <w:marBottom w:val="0"/>
          <w:divBdr>
            <w:top w:val="none" w:sz="0" w:space="0" w:color="auto"/>
            <w:left w:val="none" w:sz="0" w:space="0" w:color="auto"/>
            <w:bottom w:val="none" w:sz="0" w:space="0" w:color="auto"/>
            <w:right w:val="none" w:sz="0" w:space="0" w:color="auto"/>
          </w:divBdr>
        </w:div>
        <w:div w:id="1491092866">
          <w:marLeft w:val="0"/>
          <w:marRight w:val="0"/>
          <w:marTop w:val="0"/>
          <w:marBottom w:val="0"/>
          <w:divBdr>
            <w:top w:val="none" w:sz="0" w:space="0" w:color="auto"/>
            <w:left w:val="none" w:sz="0" w:space="0" w:color="auto"/>
            <w:bottom w:val="none" w:sz="0" w:space="0" w:color="auto"/>
            <w:right w:val="none" w:sz="0" w:space="0" w:color="auto"/>
          </w:divBdr>
        </w:div>
        <w:div w:id="1505785536">
          <w:marLeft w:val="0"/>
          <w:marRight w:val="0"/>
          <w:marTop w:val="0"/>
          <w:marBottom w:val="0"/>
          <w:divBdr>
            <w:top w:val="none" w:sz="0" w:space="0" w:color="auto"/>
            <w:left w:val="none" w:sz="0" w:space="0" w:color="auto"/>
            <w:bottom w:val="none" w:sz="0" w:space="0" w:color="auto"/>
            <w:right w:val="none" w:sz="0" w:space="0" w:color="auto"/>
          </w:divBdr>
        </w:div>
        <w:div w:id="1627660815">
          <w:marLeft w:val="0"/>
          <w:marRight w:val="0"/>
          <w:marTop w:val="0"/>
          <w:marBottom w:val="0"/>
          <w:divBdr>
            <w:top w:val="none" w:sz="0" w:space="0" w:color="auto"/>
            <w:left w:val="none" w:sz="0" w:space="0" w:color="auto"/>
            <w:bottom w:val="none" w:sz="0" w:space="0" w:color="auto"/>
            <w:right w:val="none" w:sz="0" w:space="0" w:color="auto"/>
          </w:divBdr>
        </w:div>
        <w:div w:id="1700082389">
          <w:marLeft w:val="0"/>
          <w:marRight w:val="0"/>
          <w:marTop w:val="0"/>
          <w:marBottom w:val="0"/>
          <w:divBdr>
            <w:top w:val="none" w:sz="0" w:space="0" w:color="auto"/>
            <w:left w:val="none" w:sz="0" w:space="0" w:color="auto"/>
            <w:bottom w:val="none" w:sz="0" w:space="0" w:color="auto"/>
            <w:right w:val="none" w:sz="0" w:space="0" w:color="auto"/>
          </w:divBdr>
        </w:div>
        <w:div w:id="1731884789">
          <w:marLeft w:val="0"/>
          <w:marRight w:val="0"/>
          <w:marTop w:val="0"/>
          <w:marBottom w:val="0"/>
          <w:divBdr>
            <w:top w:val="none" w:sz="0" w:space="0" w:color="auto"/>
            <w:left w:val="none" w:sz="0" w:space="0" w:color="auto"/>
            <w:bottom w:val="none" w:sz="0" w:space="0" w:color="auto"/>
            <w:right w:val="none" w:sz="0" w:space="0" w:color="auto"/>
          </w:divBdr>
        </w:div>
        <w:div w:id="1739203860">
          <w:marLeft w:val="0"/>
          <w:marRight w:val="0"/>
          <w:marTop w:val="0"/>
          <w:marBottom w:val="0"/>
          <w:divBdr>
            <w:top w:val="none" w:sz="0" w:space="0" w:color="auto"/>
            <w:left w:val="none" w:sz="0" w:space="0" w:color="auto"/>
            <w:bottom w:val="none" w:sz="0" w:space="0" w:color="auto"/>
            <w:right w:val="none" w:sz="0" w:space="0" w:color="auto"/>
          </w:divBdr>
        </w:div>
        <w:div w:id="1817793241">
          <w:marLeft w:val="0"/>
          <w:marRight w:val="0"/>
          <w:marTop w:val="0"/>
          <w:marBottom w:val="0"/>
          <w:divBdr>
            <w:top w:val="none" w:sz="0" w:space="0" w:color="auto"/>
            <w:left w:val="none" w:sz="0" w:space="0" w:color="auto"/>
            <w:bottom w:val="none" w:sz="0" w:space="0" w:color="auto"/>
            <w:right w:val="none" w:sz="0" w:space="0" w:color="auto"/>
          </w:divBdr>
        </w:div>
        <w:div w:id="1858040700">
          <w:marLeft w:val="0"/>
          <w:marRight w:val="0"/>
          <w:marTop w:val="0"/>
          <w:marBottom w:val="0"/>
          <w:divBdr>
            <w:top w:val="none" w:sz="0" w:space="0" w:color="auto"/>
            <w:left w:val="none" w:sz="0" w:space="0" w:color="auto"/>
            <w:bottom w:val="none" w:sz="0" w:space="0" w:color="auto"/>
            <w:right w:val="none" w:sz="0" w:space="0" w:color="auto"/>
          </w:divBdr>
        </w:div>
        <w:div w:id="1859812741">
          <w:marLeft w:val="0"/>
          <w:marRight w:val="0"/>
          <w:marTop w:val="0"/>
          <w:marBottom w:val="0"/>
          <w:divBdr>
            <w:top w:val="none" w:sz="0" w:space="0" w:color="auto"/>
            <w:left w:val="none" w:sz="0" w:space="0" w:color="auto"/>
            <w:bottom w:val="none" w:sz="0" w:space="0" w:color="auto"/>
            <w:right w:val="none" w:sz="0" w:space="0" w:color="auto"/>
          </w:divBdr>
        </w:div>
        <w:div w:id="1862085765">
          <w:marLeft w:val="0"/>
          <w:marRight w:val="0"/>
          <w:marTop w:val="0"/>
          <w:marBottom w:val="0"/>
          <w:divBdr>
            <w:top w:val="none" w:sz="0" w:space="0" w:color="auto"/>
            <w:left w:val="none" w:sz="0" w:space="0" w:color="auto"/>
            <w:bottom w:val="none" w:sz="0" w:space="0" w:color="auto"/>
            <w:right w:val="none" w:sz="0" w:space="0" w:color="auto"/>
          </w:divBdr>
        </w:div>
        <w:div w:id="1983190365">
          <w:marLeft w:val="0"/>
          <w:marRight w:val="0"/>
          <w:marTop w:val="0"/>
          <w:marBottom w:val="0"/>
          <w:divBdr>
            <w:top w:val="none" w:sz="0" w:space="0" w:color="auto"/>
            <w:left w:val="none" w:sz="0" w:space="0" w:color="auto"/>
            <w:bottom w:val="none" w:sz="0" w:space="0" w:color="auto"/>
            <w:right w:val="none" w:sz="0" w:space="0" w:color="auto"/>
          </w:divBdr>
        </w:div>
        <w:div w:id="2040620974">
          <w:marLeft w:val="0"/>
          <w:marRight w:val="0"/>
          <w:marTop w:val="0"/>
          <w:marBottom w:val="0"/>
          <w:divBdr>
            <w:top w:val="none" w:sz="0" w:space="0" w:color="auto"/>
            <w:left w:val="none" w:sz="0" w:space="0" w:color="auto"/>
            <w:bottom w:val="none" w:sz="0" w:space="0" w:color="auto"/>
            <w:right w:val="none" w:sz="0" w:space="0" w:color="auto"/>
          </w:divBdr>
        </w:div>
        <w:div w:id="2044479332">
          <w:marLeft w:val="0"/>
          <w:marRight w:val="0"/>
          <w:marTop w:val="0"/>
          <w:marBottom w:val="0"/>
          <w:divBdr>
            <w:top w:val="none" w:sz="0" w:space="0" w:color="auto"/>
            <w:left w:val="none" w:sz="0" w:space="0" w:color="auto"/>
            <w:bottom w:val="none" w:sz="0" w:space="0" w:color="auto"/>
            <w:right w:val="none" w:sz="0" w:space="0" w:color="auto"/>
          </w:divBdr>
        </w:div>
        <w:div w:id="2095125196">
          <w:marLeft w:val="0"/>
          <w:marRight w:val="0"/>
          <w:marTop w:val="0"/>
          <w:marBottom w:val="0"/>
          <w:divBdr>
            <w:top w:val="none" w:sz="0" w:space="0" w:color="auto"/>
            <w:left w:val="none" w:sz="0" w:space="0" w:color="auto"/>
            <w:bottom w:val="none" w:sz="0" w:space="0" w:color="auto"/>
            <w:right w:val="none" w:sz="0" w:space="0" w:color="auto"/>
          </w:divBdr>
        </w:div>
      </w:divsChild>
    </w:div>
    <w:div w:id="1583876209">
      <w:bodyDiv w:val="1"/>
      <w:marLeft w:val="0"/>
      <w:marRight w:val="0"/>
      <w:marTop w:val="0"/>
      <w:marBottom w:val="0"/>
      <w:divBdr>
        <w:top w:val="none" w:sz="0" w:space="0" w:color="auto"/>
        <w:left w:val="none" w:sz="0" w:space="0" w:color="auto"/>
        <w:bottom w:val="none" w:sz="0" w:space="0" w:color="auto"/>
        <w:right w:val="none" w:sz="0" w:space="0" w:color="auto"/>
      </w:divBdr>
    </w:div>
    <w:div w:id="178461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ezda.rybakova@visagi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99"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19024" cap="rnd">
                <a:solidFill>
                  <a:schemeClr val="accent1"/>
                </a:solidFill>
                <a:prstDash val="sysDot"/>
              </a:ln>
              <a:effectLst/>
            </c:spPr>
            <c:trendlineType val="linear"/>
            <c:dispRSqr val="0"/>
            <c:dispEq val="0"/>
          </c:trendline>
          <c:cat>
            <c:strRef>
              <c:f>Lapas1!$A$2:$A$5</c:f>
              <c:strCache>
                <c:ptCount val="4"/>
                <c:pt idx="0">
                  <c:v>2017 m.</c:v>
                </c:pt>
                <c:pt idx="1">
                  <c:v>2018 m.</c:v>
                </c:pt>
                <c:pt idx="2">
                  <c:v> 2019 m.</c:v>
                </c:pt>
                <c:pt idx="3">
                  <c:v> 2020 m.</c:v>
                </c:pt>
              </c:strCache>
            </c:strRef>
          </c:cat>
          <c:val>
            <c:numRef>
              <c:f>Lapas1!$B$2:$B$5</c:f>
              <c:numCache>
                <c:formatCode>General</c:formatCode>
                <c:ptCount val="4"/>
                <c:pt idx="0">
                  <c:v>78.17</c:v>
                </c:pt>
                <c:pt idx="1">
                  <c:v>82.82</c:v>
                </c:pt>
                <c:pt idx="2">
                  <c:v>46.88</c:v>
                </c:pt>
                <c:pt idx="3">
                  <c:v>46.21</c:v>
                </c:pt>
              </c:numCache>
            </c:numRef>
          </c:val>
          <c:extLst xmlns:c16r2="http://schemas.microsoft.com/office/drawing/2015/06/chart">
            <c:ext xmlns:c16="http://schemas.microsoft.com/office/drawing/2014/chart" uri="{C3380CC4-5D6E-409C-BE32-E72D297353CC}">
              <c16:uniqueId val="{00000001-B48C-4D98-BAE3-B8DA4071C145}"/>
            </c:ext>
          </c:extLst>
        </c:ser>
        <c:dLbls>
          <c:showLegendKey val="0"/>
          <c:showVal val="0"/>
          <c:showCatName val="0"/>
          <c:showSerName val="0"/>
          <c:showPercent val="0"/>
          <c:showBubbleSize val="0"/>
        </c:dLbls>
        <c:gapWidth val="219"/>
        <c:overlap val="-27"/>
        <c:axId val="325864696"/>
        <c:axId val="325863912"/>
      </c:barChart>
      <c:catAx>
        <c:axId val="325864696"/>
        <c:scaling>
          <c:orientation val="minMax"/>
        </c:scaling>
        <c:delete val="0"/>
        <c:axPos val="b"/>
        <c:numFmt formatCode="General" sourceLinked="1"/>
        <c:majorTickMark val="none"/>
        <c:minorTickMark val="none"/>
        <c:tickLblPos val="nextTo"/>
        <c:spPr>
          <a:noFill/>
          <a:ln w="9512"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25863912"/>
        <c:crosses val="autoZero"/>
        <c:auto val="1"/>
        <c:lblAlgn val="ctr"/>
        <c:lblOffset val="100"/>
        <c:noMultiLvlLbl val="0"/>
      </c:catAx>
      <c:valAx>
        <c:axId val="325863912"/>
        <c:scaling>
          <c:orientation val="minMax"/>
        </c:scaling>
        <c:delete val="0"/>
        <c:axPos val="l"/>
        <c:majorGridlines>
          <c:spPr>
            <a:ln w="9512"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25864696"/>
        <c:crosses val="autoZero"/>
        <c:crossBetween val="between"/>
      </c:valAx>
      <c:spPr>
        <a:noFill/>
        <a:ln w="25365">
          <a:noFill/>
        </a:ln>
      </c:spPr>
    </c:plotArea>
    <c:plotVisOnly val="1"/>
    <c:dispBlanksAs val="gap"/>
    <c:showDLblsOverMax val="0"/>
  </c:chart>
  <c:spPr>
    <a:solidFill>
      <a:schemeClr val="bg1"/>
    </a:solidFill>
    <a:ln w="9512"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15044811745419132"/>
          <c:y val="0.19108028138439179"/>
          <c:w val="0.83824157816020939"/>
          <c:h val="0.80818156272607156"/>
        </c:manualLayout>
      </c:layout>
      <c:pie3DChart>
        <c:varyColors val="1"/>
        <c:ser>
          <c:idx val="0"/>
          <c:order val="0"/>
          <c:explosion val="12"/>
          <c:dPt>
            <c:idx val="0"/>
            <c:bubble3D val="0"/>
            <c:extLst xmlns:c16r2="http://schemas.microsoft.com/office/drawing/2015/06/chart">
              <c:ext xmlns:c16="http://schemas.microsoft.com/office/drawing/2014/chart" uri="{C3380CC4-5D6E-409C-BE32-E72D297353CC}">
                <c16:uniqueId val="{00000000-D59C-4A35-9306-BCA3E9A206BD}"/>
              </c:ext>
            </c:extLst>
          </c:dPt>
          <c:dPt>
            <c:idx val="1"/>
            <c:bubble3D val="0"/>
            <c:explosion val="4"/>
            <c:extLst xmlns:c16r2="http://schemas.microsoft.com/office/drawing/2015/06/chart">
              <c:ext xmlns:c16="http://schemas.microsoft.com/office/drawing/2014/chart" uri="{C3380CC4-5D6E-409C-BE32-E72D297353CC}">
                <c16:uniqueId val="{00000002-D59C-4A35-9306-BCA3E9A206BD}"/>
              </c:ext>
            </c:extLst>
          </c:dPt>
          <c:dPt>
            <c:idx val="2"/>
            <c:bubble3D val="0"/>
            <c:explosion val="8"/>
            <c:extLst xmlns:c16r2="http://schemas.microsoft.com/office/drawing/2015/06/chart">
              <c:ext xmlns:c16="http://schemas.microsoft.com/office/drawing/2014/chart" uri="{C3380CC4-5D6E-409C-BE32-E72D297353CC}">
                <c16:uniqueId val="{00000004-D59C-4A35-9306-BCA3E9A206BD}"/>
              </c:ext>
            </c:extLst>
          </c:dPt>
          <c:dPt>
            <c:idx val="3"/>
            <c:bubble3D val="0"/>
            <c:explosion val="5"/>
            <c:extLst xmlns:c16r2="http://schemas.microsoft.com/office/drawing/2015/06/chart">
              <c:ext xmlns:c16="http://schemas.microsoft.com/office/drawing/2014/chart" uri="{C3380CC4-5D6E-409C-BE32-E72D297353CC}">
                <c16:uniqueId val="{00000006-D59C-4A35-9306-BCA3E9A206BD}"/>
              </c:ext>
            </c:extLst>
          </c:dPt>
          <c:dPt>
            <c:idx val="4"/>
            <c:bubble3D val="0"/>
            <c:explosion val="4"/>
            <c:extLst xmlns:c16r2="http://schemas.microsoft.com/office/drawing/2015/06/chart">
              <c:ext xmlns:c16="http://schemas.microsoft.com/office/drawing/2014/chart" uri="{C3380CC4-5D6E-409C-BE32-E72D297353CC}">
                <c16:uniqueId val="{00000008-D59C-4A35-9306-BCA3E9A206BD}"/>
              </c:ext>
            </c:extLst>
          </c:dPt>
          <c:dPt>
            <c:idx val="5"/>
            <c:bubble3D val="0"/>
            <c:explosion val="0"/>
            <c:extLst xmlns:c16r2="http://schemas.microsoft.com/office/drawing/2015/06/chart">
              <c:ext xmlns:c16="http://schemas.microsoft.com/office/drawing/2014/chart" uri="{C3380CC4-5D6E-409C-BE32-E72D297353CC}">
                <c16:uniqueId val="{0000000A-D59C-4A35-9306-BCA3E9A206BD}"/>
              </c:ext>
            </c:extLst>
          </c:dPt>
          <c:dPt>
            <c:idx val="6"/>
            <c:bubble3D val="0"/>
            <c:extLst xmlns:c16r2="http://schemas.microsoft.com/office/drawing/2015/06/chart">
              <c:ext xmlns:c16="http://schemas.microsoft.com/office/drawing/2014/chart" uri="{C3380CC4-5D6E-409C-BE32-E72D297353CC}">
                <c16:uniqueId val="{0000000B-D59C-4A35-9306-BCA3E9A206BD}"/>
              </c:ext>
            </c:extLst>
          </c:dPt>
          <c:dPt>
            <c:idx val="7"/>
            <c:bubble3D val="0"/>
            <c:explosion val="0"/>
            <c:extLst xmlns:c16r2="http://schemas.microsoft.com/office/drawing/2015/06/chart">
              <c:ext xmlns:c16="http://schemas.microsoft.com/office/drawing/2014/chart" uri="{C3380CC4-5D6E-409C-BE32-E72D297353CC}">
                <c16:uniqueId val="{0000000D-D59C-4A35-9306-BCA3E9A206BD}"/>
              </c:ext>
            </c:extLst>
          </c:dPt>
          <c:dLbls>
            <c:dLbl>
              <c:idx val="0"/>
              <c:layout>
                <c:manualLayout>
                  <c:x val="-0.21727933930271384"/>
                  <c:y val="-0.18513336568509442"/>
                </c:manualLayout>
              </c:layout>
              <c:tx>
                <c:rich>
                  <a:bodyPr/>
                  <a:lstStyle/>
                  <a:p>
                    <a:pPr>
                      <a:defRPr sz="1000" b="0" i="0" u="none" strike="noStrike" baseline="0">
                        <a:solidFill>
                          <a:srgbClr val="000000"/>
                        </a:solidFill>
                        <a:latin typeface="Calibri"/>
                        <a:ea typeface="Calibri"/>
                        <a:cs typeface="Calibri"/>
                      </a:defRPr>
                    </a:pPr>
                    <a:r>
                      <a:rPr lang="lt-LT" sz="900" b="1" i="0" u="none" strike="noStrike" baseline="0">
                        <a:solidFill>
                          <a:srgbClr val="FFFFFF"/>
                        </a:solidFill>
                        <a:latin typeface="Calibri"/>
                        <a:cs typeface="Calibri"/>
                      </a:rPr>
                      <a:t>Savivaldybės biudžeto lėšos 21656,473 tūkst. EUR; </a:t>
                    </a:r>
                  </a:p>
                  <a:p>
                    <a:pPr>
                      <a:defRPr sz="1000" b="0" i="0" u="none" strike="noStrike" baseline="0">
                        <a:solidFill>
                          <a:srgbClr val="000000"/>
                        </a:solidFill>
                        <a:latin typeface="Calibri"/>
                        <a:ea typeface="Calibri"/>
                        <a:cs typeface="Calibri"/>
                      </a:defRPr>
                    </a:pPr>
                    <a:r>
                      <a:rPr lang="lt-LT" sz="900" b="1" i="0" u="none" strike="noStrike" baseline="0">
                        <a:solidFill>
                          <a:srgbClr val="FFFFFF"/>
                        </a:solidFill>
                        <a:latin typeface="Calibri"/>
                        <a:cs typeface="Calibri"/>
                      </a:rPr>
                      <a:t>66,89 %</a:t>
                    </a:r>
                  </a:p>
                </c:rich>
              </c:tx>
              <c:spPr>
                <a:ln>
                  <a:solidFill>
                    <a:schemeClr val="accent1"/>
                  </a:solid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D59C-4A35-9306-BCA3E9A206BD}"/>
                </c:ext>
                <c:ext xmlns:c15="http://schemas.microsoft.com/office/drawing/2012/chart" uri="{CE6537A1-D6FC-4f65-9D91-7224C49458BB}"/>
              </c:extLst>
            </c:dLbl>
            <c:dLbl>
              <c:idx val="1"/>
              <c:layout>
                <c:manualLayout>
                  <c:x val="0.10511512937435237"/>
                  <c:y val="9.2041005933941183E-2"/>
                </c:manualLayout>
              </c:layout>
              <c:tx>
                <c:rich>
                  <a:bodyPr/>
                  <a:lstStyle/>
                  <a:p>
                    <a:pPr>
                      <a:defRPr sz="1000" b="0" i="0" u="none" strike="noStrike" baseline="0">
                        <a:solidFill>
                          <a:srgbClr val="000000"/>
                        </a:solidFill>
                        <a:latin typeface="Calibri"/>
                        <a:ea typeface="Calibri"/>
                        <a:cs typeface="Calibri"/>
                      </a:defRPr>
                    </a:pPr>
                    <a:r>
                      <a:rPr lang="lt-LT" sz="900" b="1" i="0" u="none" strike="noStrike" baseline="0">
                        <a:solidFill>
                          <a:srgbClr val="000000"/>
                        </a:solidFill>
                        <a:latin typeface="Calibri"/>
                        <a:cs typeface="Calibri"/>
                      </a:rPr>
                      <a:t>Savivaldybės biudžeto lėšos (Skolintos lėšos)</a:t>
                    </a:r>
                  </a:p>
                  <a:p>
                    <a:pPr>
                      <a:defRPr sz="1000" b="0" i="0" u="none" strike="noStrike" baseline="0">
                        <a:solidFill>
                          <a:srgbClr val="000000"/>
                        </a:solidFill>
                        <a:latin typeface="Calibri"/>
                        <a:ea typeface="Calibri"/>
                        <a:cs typeface="Calibri"/>
                      </a:defRPr>
                    </a:pPr>
                    <a:r>
                      <a:rPr lang="lt-LT" sz="900" b="1" i="0" u="none" strike="noStrike" baseline="0">
                        <a:solidFill>
                          <a:srgbClr val="000000"/>
                        </a:solidFill>
                        <a:latin typeface="Calibri"/>
                        <a:cs typeface="Calibri"/>
                      </a:rPr>
                      <a:t> 316,527 tūkst. EUR; </a:t>
                    </a:r>
                  </a:p>
                  <a:p>
                    <a:pPr>
                      <a:defRPr sz="1000" b="0" i="0" u="none" strike="noStrike" baseline="0">
                        <a:solidFill>
                          <a:srgbClr val="000000"/>
                        </a:solidFill>
                        <a:latin typeface="Calibri"/>
                        <a:ea typeface="Calibri"/>
                        <a:cs typeface="Calibri"/>
                      </a:defRPr>
                    </a:pPr>
                    <a:r>
                      <a:rPr lang="lt-LT" sz="900" b="1" i="0" u="none" strike="noStrike" baseline="0">
                        <a:solidFill>
                          <a:srgbClr val="000000"/>
                        </a:solidFill>
                        <a:latin typeface="Calibri"/>
                        <a:cs typeface="Calibri"/>
                      </a:rPr>
                      <a:t>0,98 %</a:t>
                    </a:r>
                  </a:p>
                </c:rich>
              </c:tx>
              <c:spPr>
                <a:ln>
                  <a:solidFill>
                    <a:schemeClr val="accent1"/>
                  </a:solid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D59C-4A35-9306-BCA3E9A206BD}"/>
                </c:ext>
                <c:ext xmlns:c15="http://schemas.microsoft.com/office/drawing/2012/chart" uri="{CE6537A1-D6FC-4f65-9D91-7224C49458BB}">
                  <c15:layout>
                    <c:manualLayout>
                      <c:w val="0.37069130884474677"/>
                      <c:h val="0.16443541667363826"/>
                    </c:manualLayout>
                  </c15:layout>
                </c:ext>
              </c:extLst>
            </c:dLbl>
            <c:dLbl>
              <c:idx val="2"/>
              <c:layout>
                <c:manualLayout>
                  <c:x val="-5.4628190250299094E-2"/>
                  <c:y val="-7.5249057955883686E-2"/>
                </c:manualLayout>
              </c:layout>
              <c:tx>
                <c:rich>
                  <a:bodyPr/>
                  <a:lstStyle/>
                  <a:p>
                    <a:pPr>
                      <a:defRPr sz="1000" b="0" i="0" u="none" strike="noStrike" baseline="0">
                        <a:solidFill>
                          <a:srgbClr val="000000"/>
                        </a:solidFill>
                        <a:latin typeface="Calibri"/>
                        <a:ea typeface="Calibri"/>
                        <a:cs typeface="Calibri"/>
                      </a:defRPr>
                    </a:pPr>
                    <a:r>
                      <a:rPr lang="lt-LT" sz="800" b="1" i="0" u="none" strike="noStrike" baseline="0">
                        <a:solidFill>
                          <a:srgbClr val="000000"/>
                        </a:solidFill>
                        <a:latin typeface="Calibri"/>
                        <a:cs typeface="Calibri"/>
                      </a:rPr>
                      <a:t>Savivaldybės biudžeto lėšos (Įstaigų pajamų lėšos)</a:t>
                    </a:r>
                  </a:p>
                  <a:p>
                    <a:pPr>
                      <a:defRPr sz="1000" b="0" i="0" u="none" strike="noStrike" baseline="0">
                        <a:solidFill>
                          <a:srgbClr val="000000"/>
                        </a:solidFill>
                        <a:latin typeface="Calibri"/>
                        <a:ea typeface="Calibri"/>
                        <a:cs typeface="Calibri"/>
                      </a:defRPr>
                    </a:pPr>
                    <a:r>
                      <a:rPr lang="lt-LT" sz="800" b="1" i="0" u="none" strike="noStrike" baseline="0">
                        <a:solidFill>
                          <a:srgbClr val="000000"/>
                        </a:solidFill>
                        <a:latin typeface="Calibri"/>
                        <a:cs typeface="Calibri"/>
                      </a:rPr>
                      <a:t>1380,787 tūkst. EUR; 4,26 %</a:t>
                    </a:r>
                  </a:p>
                </c:rich>
              </c:tx>
              <c:spPr>
                <a:ln>
                  <a:solidFill>
                    <a:schemeClr val="accent1"/>
                  </a:solid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D59C-4A35-9306-BCA3E9A206BD}"/>
                </c:ext>
                <c:ext xmlns:c15="http://schemas.microsoft.com/office/drawing/2012/chart" uri="{CE6537A1-D6FC-4f65-9D91-7224C49458BB}">
                  <c15:layout>
                    <c:manualLayout>
                      <c:w val="0.23726771780687278"/>
                      <c:h val="0.17494478480901626"/>
                    </c:manualLayout>
                  </c15:layout>
                </c:ext>
              </c:extLst>
            </c:dLbl>
            <c:dLbl>
              <c:idx val="3"/>
              <c:layout>
                <c:manualLayout>
                  <c:x val="-2.3443834208154497E-2"/>
                  <c:y val="-0.25930327706974959"/>
                </c:manualLayout>
              </c:layout>
              <c:tx>
                <c:rich>
                  <a:bodyPr/>
                  <a:lstStyle/>
                  <a:p>
                    <a:pPr>
                      <a:defRPr sz="1000" b="0" i="0" u="none" strike="noStrike" baseline="0">
                        <a:solidFill>
                          <a:srgbClr val="000000"/>
                        </a:solidFill>
                        <a:latin typeface="Calibri"/>
                        <a:ea typeface="Calibri"/>
                        <a:cs typeface="Calibri"/>
                      </a:defRPr>
                    </a:pPr>
                    <a:r>
                      <a:rPr lang="lt-LT" sz="800" b="1" i="0" u="none" strike="noStrike" baseline="0">
                        <a:solidFill>
                          <a:srgbClr val="000000"/>
                        </a:solidFill>
                        <a:latin typeface="Calibri"/>
                        <a:cs typeface="Calibri"/>
                      </a:rPr>
                      <a:t>Valstybinės (valstybės perduotos savivaldybėms) funkcijos </a:t>
                    </a:r>
                  </a:p>
                  <a:p>
                    <a:pPr>
                      <a:defRPr sz="1000" b="0" i="0" u="none" strike="noStrike" baseline="0">
                        <a:solidFill>
                          <a:srgbClr val="000000"/>
                        </a:solidFill>
                        <a:latin typeface="Calibri"/>
                        <a:ea typeface="Calibri"/>
                        <a:cs typeface="Calibri"/>
                      </a:defRPr>
                    </a:pPr>
                    <a:r>
                      <a:rPr lang="lt-LT" sz="800" b="1" i="0" u="none" strike="noStrike" baseline="0">
                        <a:solidFill>
                          <a:srgbClr val="000000"/>
                        </a:solidFill>
                        <a:latin typeface="Calibri"/>
                        <a:cs typeface="Calibri"/>
                      </a:rPr>
                      <a:t>1490,326 tūkst. EUR; 4,6 %</a:t>
                    </a:r>
                  </a:p>
                </c:rich>
              </c:tx>
              <c:spPr>
                <a:ln>
                  <a:solidFill>
                    <a:schemeClr val="accent1"/>
                  </a:solid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D59C-4A35-9306-BCA3E9A206BD}"/>
                </c:ext>
                <c:ext xmlns:c15="http://schemas.microsoft.com/office/drawing/2012/chart" uri="{CE6537A1-D6FC-4f65-9D91-7224C49458BB}">
                  <c15:layout>
                    <c:manualLayout>
                      <c:w val="0.24156088187669217"/>
                      <c:h val="0.15714601229457451"/>
                    </c:manualLayout>
                  </c15:layout>
                </c:ext>
              </c:extLst>
            </c:dLbl>
            <c:dLbl>
              <c:idx val="4"/>
              <c:layout>
                <c:manualLayout>
                  <c:x val="-2.9786458784372229E-2"/>
                  <c:y val="-8.2896352788030689E-2"/>
                </c:manualLayout>
              </c:layout>
              <c:tx>
                <c:rich>
                  <a:bodyPr anchorCtr="0"/>
                  <a:lstStyle/>
                  <a:p>
                    <a:pPr algn="ctr" rtl="0">
                      <a:defRPr lang="lt-LT" sz="900" b="1" i="0" u="none" strike="noStrike" kern="1200" baseline="0">
                        <a:solidFill>
                          <a:srgbClr val="000000"/>
                        </a:solidFill>
                        <a:latin typeface="Calibri"/>
                        <a:ea typeface="Calibri"/>
                        <a:cs typeface="Calibri"/>
                      </a:defRPr>
                    </a:pPr>
                    <a:r>
                      <a:rPr lang="lt-LT" sz="800" b="1" i="0" u="none" strike="noStrike" kern="1200" baseline="0">
                        <a:solidFill>
                          <a:srgbClr val="000000"/>
                        </a:solidFill>
                        <a:latin typeface="Calibri"/>
                        <a:ea typeface="Calibri"/>
                        <a:cs typeface="Calibri"/>
                      </a:rPr>
                      <a:t>Lėšos ugdymo rekmėms finansuoti; 5010,5 tūkst. Eur; 15,47% </a:t>
                    </a:r>
                  </a:p>
                </c:rich>
              </c:tx>
              <c:spPr>
                <a:noFill/>
                <a:ln w="9525">
                  <a:solidFill>
                    <a:schemeClr val="accent1"/>
                  </a:solidFill>
                </a:ln>
              </c:spPr>
              <c:dLblPos val="bestFit"/>
              <c:showLegendKey val="1"/>
              <c:showVal val="0"/>
              <c:showCatName val="0"/>
              <c:showSerName val="0"/>
              <c:showPercent val="0"/>
              <c:showBubbleSize val="0"/>
              <c:extLst xmlns:c16r2="http://schemas.microsoft.com/office/drawing/2015/06/chart">
                <c:ext xmlns:c16="http://schemas.microsoft.com/office/drawing/2014/chart" uri="{C3380CC4-5D6E-409C-BE32-E72D297353CC}">
                  <c16:uniqueId val="{00000008-D59C-4A35-9306-BCA3E9A206BD}"/>
                </c:ext>
                <c:ext xmlns:c15="http://schemas.microsoft.com/office/drawing/2012/chart" uri="{CE6537A1-D6FC-4f65-9D91-7224C49458BB}">
                  <c15:layout>
                    <c:manualLayout>
                      <c:w val="0.25764925430923086"/>
                      <c:h val="0.11194167973892807"/>
                    </c:manualLayout>
                  </c15:layout>
                </c:ext>
              </c:extLst>
            </c:dLbl>
            <c:dLbl>
              <c:idx val="5"/>
              <c:layout>
                <c:manualLayout>
                  <c:x val="-1.8948617104538629E-2"/>
                  <c:y val="-6.4812552914523591E-2"/>
                </c:manualLayout>
              </c:layout>
              <c:tx>
                <c:rich>
                  <a:bodyPr/>
                  <a:lstStyle/>
                  <a:p>
                    <a:pPr>
                      <a:defRPr sz="1000" b="0" i="0" u="none" strike="noStrike" baseline="0">
                        <a:solidFill>
                          <a:srgbClr val="000000"/>
                        </a:solidFill>
                        <a:latin typeface="Calibri"/>
                        <a:ea typeface="Calibri"/>
                        <a:cs typeface="Calibri"/>
                      </a:defRPr>
                    </a:pPr>
                    <a:r>
                      <a:rPr lang="lt-LT" sz="800" b="1" i="0" u="none" strike="noStrike" baseline="0">
                        <a:solidFill>
                          <a:srgbClr val="000000"/>
                        </a:solidFill>
                        <a:latin typeface="Calibri"/>
                        <a:cs typeface="Calibri"/>
                      </a:rPr>
                      <a:t>Specialios tikslinės dotacijos</a:t>
                    </a:r>
                  </a:p>
                  <a:p>
                    <a:pPr>
                      <a:defRPr sz="1000" b="0" i="0" u="none" strike="noStrike" baseline="0">
                        <a:solidFill>
                          <a:srgbClr val="000000"/>
                        </a:solidFill>
                        <a:latin typeface="Calibri"/>
                        <a:ea typeface="Calibri"/>
                        <a:cs typeface="Calibri"/>
                      </a:defRPr>
                    </a:pPr>
                    <a:r>
                      <a:rPr lang="lt-LT" sz="800" b="1" i="0" u="none" strike="noStrike" baseline="0">
                        <a:solidFill>
                          <a:srgbClr val="000000"/>
                        </a:solidFill>
                        <a:latin typeface="Calibri"/>
                        <a:cs typeface="Calibri"/>
                      </a:rPr>
                      <a:t>1904,845 tūkst. EUR; 5,89 %</a:t>
                    </a:r>
                  </a:p>
                </c:rich>
              </c:tx>
              <c:spPr>
                <a:ln>
                  <a:solidFill>
                    <a:schemeClr val="accent1"/>
                  </a:solid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D59C-4A35-9306-BCA3E9A206BD}"/>
                </c:ext>
                <c:ext xmlns:c15="http://schemas.microsoft.com/office/drawing/2012/chart" uri="{CE6537A1-D6FC-4f65-9D91-7224C49458BB}">
                  <c15:layout>
                    <c:manualLayout>
                      <c:w val="0.2396970325793733"/>
                      <c:h val="0.16124096897577561"/>
                    </c:manualLayout>
                  </c15:layout>
                </c:ext>
              </c:extLst>
            </c:dLbl>
            <c:dLbl>
              <c:idx val="6"/>
              <c:layout>
                <c:manualLayout>
                  <c:x val="0.10535723914361296"/>
                  <c:y val="-3.328436474127517E-2"/>
                </c:manualLayout>
              </c:layout>
              <c:tx>
                <c:rich>
                  <a:bodyPr/>
                  <a:lstStyle/>
                  <a:p>
                    <a:pPr>
                      <a:defRPr sz="1000" b="0" i="0" u="none" strike="noStrike" baseline="0">
                        <a:solidFill>
                          <a:srgbClr val="000000"/>
                        </a:solidFill>
                        <a:latin typeface="Calibri"/>
                        <a:ea typeface="Calibri"/>
                        <a:cs typeface="Calibri"/>
                      </a:defRPr>
                    </a:pPr>
                    <a:r>
                      <a:rPr lang="lt-LT" sz="800" b="1" i="0" u="none" strike="noStrike" baseline="0">
                        <a:solidFill>
                          <a:srgbClr val="000000"/>
                        </a:solidFill>
                        <a:latin typeface="Calibri"/>
                        <a:cs typeface="Calibri"/>
                      </a:rPr>
                      <a:t>Europos Sąjungos paramos lėšos</a:t>
                    </a:r>
                  </a:p>
                  <a:p>
                    <a:pPr>
                      <a:defRPr sz="1000" b="0" i="0" u="none" strike="noStrike" baseline="0">
                        <a:solidFill>
                          <a:srgbClr val="000000"/>
                        </a:solidFill>
                        <a:latin typeface="Calibri"/>
                        <a:ea typeface="Calibri"/>
                        <a:cs typeface="Calibri"/>
                      </a:defRPr>
                    </a:pPr>
                    <a:r>
                      <a:rPr lang="lt-LT" sz="800" b="1" i="0" u="none" strike="noStrike" baseline="0">
                        <a:solidFill>
                          <a:srgbClr val="000000"/>
                        </a:solidFill>
                        <a:latin typeface="Calibri"/>
                        <a:cs typeface="Calibri"/>
                      </a:rPr>
                      <a:t>525,118 tūkst. EUR; 1,62 %</a:t>
                    </a:r>
                  </a:p>
                </c:rich>
              </c:tx>
              <c:spPr>
                <a:ln>
                  <a:solidFill>
                    <a:schemeClr val="accent1"/>
                  </a:solid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D59C-4A35-9306-BCA3E9A206BD}"/>
                </c:ext>
                <c:ext xmlns:c15="http://schemas.microsoft.com/office/drawing/2012/chart" uri="{CE6537A1-D6FC-4f65-9D91-7224C49458BB}">
                  <c15:layout>
                    <c:manualLayout>
                      <c:w val="0.24991707692483656"/>
                      <c:h val="0.13525303599693472"/>
                    </c:manualLayout>
                  </c15:layout>
                </c:ext>
              </c:extLst>
            </c:dLbl>
            <c:dLbl>
              <c:idx val="7"/>
              <c:layout>
                <c:manualLayout>
                  <c:x val="0.29300978900774982"/>
                  <c:y val="2.6012696139289433E-2"/>
                </c:manualLayout>
              </c:layout>
              <c:tx>
                <c:rich>
                  <a:bodyPr/>
                  <a:lstStyle/>
                  <a:p>
                    <a:pPr>
                      <a:defRPr sz="1000" b="0" i="0" u="none" strike="noStrike" baseline="0">
                        <a:solidFill>
                          <a:srgbClr val="000000"/>
                        </a:solidFill>
                        <a:latin typeface="Calibri"/>
                        <a:ea typeface="Calibri"/>
                        <a:cs typeface="Calibri"/>
                      </a:defRPr>
                    </a:pPr>
                    <a:r>
                      <a:rPr lang="lt-LT" sz="800" b="1" i="0" u="none" strike="noStrike" baseline="0">
                        <a:solidFill>
                          <a:srgbClr val="000000"/>
                        </a:solidFill>
                        <a:latin typeface="Calibri"/>
                        <a:cs typeface="Calibri"/>
                      </a:rPr>
                      <a:t>Aplinkos apsaugos rėmimo specialiosios programos lėšos 94,305 tūkst. EUR; 0,29 %</a:t>
                    </a:r>
                  </a:p>
                </c:rich>
              </c:tx>
              <c:spPr>
                <a:ln>
                  <a:solidFill>
                    <a:schemeClr val="accent1"/>
                  </a:solid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D59C-4A35-9306-BCA3E9A206BD}"/>
                </c:ext>
                <c:ext xmlns:c15="http://schemas.microsoft.com/office/drawing/2012/chart" uri="{CE6537A1-D6FC-4f65-9D91-7224C49458BB}">
                  <c15:layout>
                    <c:manualLayout>
                      <c:w val="0.24992737082382238"/>
                      <c:h val="0.18200186727615278"/>
                    </c:manualLayout>
                  </c15:layout>
                </c:ext>
              </c:extLst>
            </c:dLbl>
            <c:spPr>
              <a:noFill/>
              <a:ln w="25400">
                <a:solidFill>
                  <a:schemeClr val="accent1"/>
                </a:solidFill>
              </a:ln>
            </c:spPr>
            <c:txPr>
              <a:bodyPr wrap="square" lIns="38100" tIns="19050" rIns="38100" bIns="19050" anchor="ctr">
                <a:spAutoFit/>
              </a:bodyPr>
              <a:lstStyle/>
              <a:p>
                <a:pPr>
                  <a:defRPr sz="900" b="1" i="0" u="none" strike="noStrike" baseline="0">
                    <a:solidFill>
                      <a:srgbClr val="000000"/>
                    </a:solidFill>
                    <a:latin typeface="Calibri"/>
                    <a:ea typeface="Calibri"/>
                    <a:cs typeface="Calibri"/>
                  </a:defRPr>
                </a:pPr>
                <a:endParaRPr lang="lt-LT"/>
              </a:p>
            </c:txPr>
            <c:showLegendKey val="0"/>
            <c:showVal val="1"/>
            <c:showCatName val="1"/>
            <c:showSerName val="1"/>
            <c:showPercent val="1"/>
            <c:showBubbleSize val="0"/>
            <c:showLeaderLines val="1"/>
            <c:extLst xmlns:c16r2="http://schemas.microsoft.com/office/drawing/2015/06/chart">
              <c:ext xmlns:c15="http://schemas.microsoft.com/office/drawing/2012/chart" uri="{CE6537A1-D6FC-4f65-9D91-7224C49458BB}"/>
            </c:extLst>
          </c:dLbls>
          <c:cat>
            <c:strRef>
              <c:f>Lapas1!$A$4:$A$11</c:f>
              <c:strCache>
                <c:ptCount val="8"/>
                <c:pt idx="0">
                  <c:v>Savivaldybės biudžeto lėšos</c:v>
                </c:pt>
                <c:pt idx="1">
                  <c:v>Savivaldybės biudžeto lėšos (Skolintos lėšos)</c:v>
                </c:pt>
                <c:pt idx="2">
                  <c:v>Savivaldybės biudžeto lėšos (Biudžetinių įstaigų pajamų lėšos)</c:v>
                </c:pt>
                <c:pt idx="3">
                  <c:v>Valstybinės (valstybės perduotos savivaldybėms) funkcijos </c:v>
                </c:pt>
                <c:pt idx="4">
                  <c:v>Ugdymo reikmėms finansuoti lėšos</c:v>
                </c:pt>
                <c:pt idx="5">
                  <c:v>Specialiosios tikslinės dotacijos, kitos dotacijos ir lėšos iš kitų valdymo lygių</c:v>
                </c:pt>
                <c:pt idx="6">
                  <c:v>Europos Sąjungos paramos lėšos</c:v>
                </c:pt>
                <c:pt idx="7">
                  <c:v>Aplinkos apsaugos rėmimo specialiosios programos lėšos</c:v>
                </c:pt>
              </c:strCache>
            </c:strRef>
          </c:cat>
          <c:val>
            <c:numRef>
              <c:f>Lapas1!$B$4:$B$11</c:f>
              <c:numCache>
                <c:formatCode>#,##0.000</c:formatCode>
                <c:ptCount val="8"/>
                <c:pt idx="0">
                  <c:v>21656473</c:v>
                </c:pt>
                <c:pt idx="1">
                  <c:v>316527</c:v>
                </c:pt>
                <c:pt idx="2">
                  <c:v>1380787</c:v>
                </c:pt>
                <c:pt idx="3">
                  <c:v>1490326</c:v>
                </c:pt>
                <c:pt idx="4">
                  <c:v>5010500</c:v>
                </c:pt>
                <c:pt idx="5">
                  <c:v>1904845</c:v>
                </c:pt>
                <c:pt idx="6">
                  <c:v>525118</c:v>
                </c:pt>
                <c:pt idx="7">
                  <c:v>94305</c:v>
                </c:pt>
              </c:numCache>
            </c:numRef>
          </c:val>
          <c:extLst xmlns:c16r2="http://schemas.microsoft.com/office/drawing/2015/06/chart">
            <c:ext xmlns:c16="http://schemas.microsoft.com/office/drawing/2014/chart" uri="{C3380CC4-5D6E-409C-BE32-E72D297353CC}">
              <c16:uniqueId val="{0000000E-D59C-4A35-9306-BCA3E9A206BD}"/>
            </c:ext>
          </c:extLst>
        </c:ser>
        <c:ser>
          <c:idx val="1"/>
          <c:order val="1"/>
          <c:tx>
            <c:strRef>
              <c:f>Lapas1!$C$4:$C$11</c:f>
              <c:strCache>
                <c:ptCount val="8"/>
                <c:pt idx="0">
                  <c:v>66,88%</c:v>
                </c:pt>
                <c:pt idx="1">
                  <c:v>0,98%</c:v>
                </c:pt>
                <c:pt idx="2">
                  <c:v>4,26%</c:v>
                </c:pt>
                <c:pt idx="3">
                  <c:v>4,60%</c:v>
                </c:pt>
                <c:pt idx="4">
                  <c:v>15,47%</c:v>
                </c:pt>
                <c:pt idx="5">
                  <c:v>5,88%</c:v>
                </c:pt>
                <c:pt idx="6">
                  <c:v>1,62%</c:v>
                </c:pt>
                <c:pt idx="7">
                  <c:v>0,29%</c:v>
                </c:pt>
              </c:strCache>
            </c:strRef>
          </c:tx>
          <c:explosion val="25"/>
          <c:dPt>
            <c:idx val="0"/>
            <c:bubble3D val="0"/>
            <c:extLst xmlns:c16r2="http://schemas.microsoft.com/office/drawing/2015/06/chart">
              <c:ext xmlns:c16="http://schemas.microsoft.com/office/drawing/2014/chart" uri="{C3380CC4-5D6E-409C-BE32-E72D297353CC}">
                <c16:uniqueId val="{0000000F-D59C-4A35-9306-BCA3E9A206BD}"/>
              </c:ext>
            </c:extLst>
          </c:dPt>
          <c:dPt>
            <c:idx val="1"/>
            <c:bubble3D val="0"/>
            <c:extLst xmlns:c16r2="http://schemas.microsoft.com/office/drawing/2015/06/chart">
              <c:ext xmlns:c16="http://schemas.microsoft.com/office/drawing/2014/chart" uri="{C3380CC4-5D6E-409C-BE32-E72D297353CC}">
                <c16:uniqueId val="{00000010-D59C-4A35-9306-BCA3E9A206BD}"/>
              </c:ext>
            </c:extLst>
          </c:dPt>
          <c:dPt>
            <c:idx val="2"/>
            <c:bubble3D val="0"/>
            <c:extLst xmlns:c16r2="http://schemas.microsoft.com/office/drawing/2015/06/chart">
              <c:ext xmlns:c16="http://schemas.microsoft.com/office/drawing/2014/chart" uri="{C3380CC4-5D6E-409C-BE32-E72D297353CC}">
                <c16:uniqueId val="{00000011-D59C-4A35-9306-BCA3E9A206BD}"/>
              </c:ext>
            </c:extLst>
          </c:dPt>
          <c:dPt>
            <c:idx val="3"/>
            <c:bubble3D val="0"/>
            <c:extLst xmlns:c16r2="http://schemas.microsoft.com/office/drawing/2015/06/chart">
              <c:ext xmlns:c16="http://schemas.microsoft.com/office/drawing/2014/chart" uri="{C3380CC4-5D6E-409C-BE32-E72D297353CC}">
                <c16:uniqueId val="{00000012-D59C-4A35-9306-BCA3E9A206BD}"/>
              </c:ext>
            </c:extLst>
          </c:dPt>
          <c:dPt>
            <c:idx val="4"/>
            <c:bubble3D val="0"/>
            <c:extLst xmlns:c16r2="http://schemas.microsoft.com/office/drawing/2015/06/chart">
              <c:ext xmlns:c16="http://schemas.microsoft.com/office/drawing/2014/chart" uri="{C3380CC4-5D6E-409C-BE32-E72D297353CC}">
                <c16:uniqueId val="{00000013-D59C-4A35-9306-BCA3E9A206BD}"/>
              </c:ext>
            </c:extLst>
          </c:dPt>
          <c:dPt>
            <c:idx val="5"/>
            <c:bubble3D val="0"/>
            <c:extLst xmlns:c16r2="http://schemas.microsoft.com/office/drawing/2015/06/chart">
              <c:ext xmlns:c16="http://schemas.microsoft.com/office/drawing/2014/chart" uri="{C3380CC4-5D6E-409C-BE32-E72D297353CC}">
                <c16:uniqueId val="{00000014-D59C-4A35-9306-BCA3E9A206BD}"/>
              </c:ext>
            </c:extLst>
          </c:dPt>
          <c:dPt>
            <c:idx val="6"/>
            <c:bubble3D val="0"/>
            <c:extLst xmlns:c16r2="http://schemas.microsoft.com/office/drawing/2015/06/chart">
              <c:ext xmlns:c16="http://schemas.microsoft.com/office/drawing/2014/chart" uri="{C3380CC4-5D6E-409C-BE32-E72D297353CC}">
                <c16:uniqueId val="{00000015-D59C-4A35-9306-BCA3E9A206BD}"/>
              </c:ext>
            </c:extLst>
          </c:dPt>
          <c:dPt>
            <c:idx val="7"/>
            <c:bubble3D val="0"/>
            <c:extLst xmlns:c16r2="http://schemas.microsoft.com/office/drawing/2015/06/chart">
              <c:ext xmlns:c16="http://schemas.microsoft.com/office/drawing/2014/chart" uri="{C3380CC4-5D6E-409C-BE32-E72D297353CC}">
                <c16:uniqueId val="{00000016-D59C-4A35-9306-BCA3E9A206BD}"/>
              </c:ext>
            </c:extLst>
          </c:dPt>
          <c:cat>
            <c:strRef>
              <c:f>Lapas1!$A$4:$A$11</c:f>
              <c:strCache>
                <c:ptCount val="8"/>
                <c:pt idx="0">
                  <c:v>Savivaldybės biudžeto lėšos</c:v>
                </c:pt>
                <c:pt idx="1">
                  <c:v>Savivaldybės biudžeto lėšos (Skolintos lėšos)</c:v>
                </c:pt>
                <c:pt idx="2">
                  <c:v>Savivaldybės biudžeto lėšos (Biudžetinių įstaigų pajamų lėšos)</c:v>
                </c:pt>
                <c:pt idx="3">
                  <c:v>Valstybinės (valstybės perduotos savivaldybėms) funkcijos </c:v>
                </c:pt>
                <c:pt idx="4">
                  <c:v>Ugdymo reikmėms finansuoti lėšos</c:v>
                </c:pt>
                <c:pt idx="5">
                  <c:v>Specialiosios tikslinės dotacijos, kitos dotacijos ir lėšos iš kitų valdymo lygių</c:v>
                </c:pt>
                <c:pt idx="6">
                  <c:v>Europos Sąjungos paramos lėšos</c:v>
                </c:pt>
                <c:pt idx="7">
                  <c:v>Aplinkos apsaugos rėmimo specialiosios programos lėšos</c:v>
                </c:pt>
              </c:strCache>
            </c:strRef>
          </c:cat>
          <c:val>
            <c:numRef>
              <c:f>Lapas1!$C$4:$C$11</c:f>
              <c:numCache>
                <c:formatCode>0.00%</c:formatCode>
                <c:ptCount val="8"/>
                <c:pt idx="0">
                  <c:v>0.66884562811173121</c:v>
                </c:pt>
                <c:pt idx="1">
                  <c:v>9.7757238738423353E-3</c:v>
                </c:pt>
                <c:pt idx="2">
                  <c:v>4.2644679413102633E-2</c:v>
                </c:pt>
                <c:pt idx="3">
                  <c:v>4.6027717881911977E-2</c:v>
                </c:pt>
                <c:pt idx="4">
                  <c:v>0.15474592837226214</c:v>
                </c:pt>
                <c:pt idx="5">
                  <c:v>5.8829858882399305E-2</c:v>
                </c:pt>
                <c:pt idx="6">
                  <c:v>1.621791685759616E-2</c:v>
                </c:pt>
                <c:pt idx="7">
                  <c:v>2.9125466071542126E-3</c:v>
                </c:pt>
              </c:numCache>
            </c:numRef>
          </c:val>
          <c:extLst xmlns:c16r2="http://schemas.microsoft.com/office/drawing/2015/06/chart">
            <c:ext xmlns:c16="http://schemas.microsoft.com/office/drawing/2014/chart" uri="{C3380CC4-5D6E-409C-BE32-E72D297353CC}">
              <c16:uniqueId val="{00000017-D59C-4A35-9306-BCA3E9A206BD}"/>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3802195693071755"/>
          <c:y val="4.7720961969480093E-2"/>
          <c:w val="0.42186424144585166"/>
          <c:h val="0.88304356272392426"/>
        </c:manualLayout>
      </c:layout>
      <c:barChart>
        <c:barDir val="bar"/>
        <c:grouping val="clustered"/>
        <c:varyColors val="0"/>
        <c:ser>
          <c:idx val="0"/>
          <c:order val="0"/>
          <c:tx>
            <c:v>2018 m. patvirtintas planas</c:v>
          </c:tx>
          <c:spPr>
            <a:solidFill>
              <a:schemeClr val="accent2">
                <a:lumMod val="60000"/>
                <a:lumOff val="40000"/>
              </a:schemeClr>
            </a:solidFill>
            <a:ln>
              <a:solidFill>
                <a:schemeClr val="accent5">
                  <a:lumMod val="60000"/>
                  <a:lumOff val="40000"/>
                </a:schemeClr>
              </a:solidFill>
            </a:ln>
          </c:spPr>
          <c:invertIfNegative val="0"/>
          <c:dPt>
            <c:idx val="0"/>
            <c:invertIfNegative val="0"/>
            <c:bubble3D val="0"/>
            <c:extLst xmlns:c16r2="http://schemas.microsoft.com/office/drawing/2015/06/chart">
              <c:ext xmlns:c16="http://schemas.microsoft.com/office/drawing/2014/chart" uri="{C3380CC4-5D6E-409C-BE32-E72D297353CC}">
                <c16:uniqueId val="{00000000-C367-4E66-926D-97EA3D9EC119}"/>
              </c:ext>
            </c:extLst>
          </c:dPt>
          <c:dPt>
            <c:idx val="1"/>
            <c:invertIfNegative val="0"/>
            <c:bubble3D val="0"/>
            <c:extLst xmlns:c16r2="http://schemas.microsoft.com/office/drawing/2015/06/chart">
              <c:ext xmlns:c16="http://schemas.microsoft.com/office/drawing/2014/chart" uri="{C3380CC4-5D6E-409C-BE32-E72D297353CC}">
                <c16:uniqueId val="{00000001-C367-4E66-926D-97EA3D9EC119}"/>
              </c:ext>
            </c:extLst>
          </c:dPt>
          <c:dPt>
            <c:idx val="2"/>
            <c:invertIfNegative val="0"/>
            <c:bubble3D val="0"/>
            <c:extLst xmlns:c16r2="http://schemas.microsoft.com/office/drawing/2015/06/chart">
              <c:ext xmlns:c16="http://schemas.microsoft.com/office/drawing/2014/chart" uri="{C3380CC4-5D6E-409C-BE32-E72D297353CC}">
                <c16:uniqueId val="{00000002-C367-4E66-926D-97EA3D9EC119}"/>
              </c:ext>
            </c:extLst>
          </c:dPt>
          <c:dPt>
            <c:idx val="3"/>
            <c:invertIfNegative val="0"/>
            <c:bubble3D val="0"/>
            <c:extLst xmlns:c16r2="http://schemas.microsoft.com/office/drawing/2015/06/chart">
              <c:ext xmlns:c16="http://schemas.microsoft.com/office/drawing/2014/chart" uri="{C3380CC4-5D6E-409C-BE32-E72D297353CC}">
                <c16:uniqueId val="{00000003-C367-4E66-926D-97EA3D9EC119}"/>
              </c:ext>
            </c:extLst>
          </c:dPt>
          <c:dPt>
            <c:idx val="4"/>
            <c:invertIfNegative val="0"/>
            <c:bubble3D val="0"/>
            <c:extLst xmlns:c16r2="http://schemas.microsoft.com/office/drawing/2015/06/chart">
              <c:ext xmlns:c16="http://schemas.microsoft.com/office/drawing/2014/chart" uri="{C3380CC4-5D6E-409C-BE32-E72D297353CC}">
                <c16:uniqueId val="{00000004-C367-4E66-926D-97EA3D9EC119}"/>
              </c:ext>
            </c:extLst>
          </c:dPt>
          <c:dPt>
            <c:idx val="5"/>
            <c:invertIfNegative val="0"/>
            <c:bubble3D val="0"/>
            <c:extLst xmlns:c16r2="http://schemas.microsoft.com/office/drawing/2015/06/chart">
              <c:ext xmlns:c16="http://schemas.microsoft.com/office/drawing/2014/chart" uri="{C3380CC4-5D6E-409C-BE32-E72D297353CC}">
                <c16:uniqueId val="{00000005-C367-4E66-926D-97EA3D9EC119}"/>
              </c:ext>
            </c:extLst>
          </c:dPt>
          <c:dPt>
            <c:idx val="6"/>
            <c:invertIfNegative val="0"/>
            <c:bubble3D val="0"/>
            <c:extLst xmlns:c16r2="http://schemas.microsoft.com/office/drawing/2015/06/chart">
              <c:ext xmlns:c16="http://schemas.microsoft.com/office/drawing/2014/chart" uri="{C3380CC4-5D6E-409C-BE32-E72D297353CC}">
                <c16:uniqueId val="{00000006-C367-4E66-926D-97EA3D9EC119}"/>
              </c:ext>
            </c:extLst>
          </c:dPt>
          <c:dPt>
            <c:idx val="7"/>
            <c:invertIfNegative val="0"/>
            <c:bubble3D val="0"/>
            <c:extLst xmlns:c16r2="http://schemas.microsoft.com/office/drawing/2015/06/chart">
              <c:ext xmlns:c16="http://schemas.microsoft.com/office/drawing/2014/chart" uri="{C3380CC4-5D6E-409C-BE32-E72D297353CC}">
                <c16:uniqueId val="{00000007-C367-4E66-926D-97EA3D9EC119}"/>
              </c:ext>
            </c:extLst>
          </c:dPt>
          <c:dLbls>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Lapas1!$A$6:$A$15</c:f>
              <c:strCache>
                <c:ptCount val="10"/>
                <c:pt idx="0">
                  <c:v>1. Savivaldybės valdymo tobulinimo programa</c:v>
                </c:pt>
                <c:pt idx="1">
                  <c:v>2. Švietimo paslaugų plėtros programa</c:v>
                </c:pt>
                <c:pt idx="2">
                  <c:v>3. Kūno kultūros ir sporto plėtros programa</c:v>
                </c:pt>
                <c:pt idx="3">
                  <c:v>4. Gyventojų kultūrinio aktyvumo skatinimo ir identiteto stiprinimo programa</c:v>
                </c:pt>
                <c:pt idx="4">
                  <c:v>5. Bendruomeniškumo skatinimo programa</c:v>
                </c:pt>
                <c:pt idx="5">
                  <c:v>6. Socialinės paramos įgyvendinimo programa</c:v>
                </c:pt>
                <c:pt idx="6">
                  <c:v>7. Sveikatos apsaugos paslaugų kokybės gerinimo programa</c:v>
                </c:pt>
                <c:pt idx="7">
                  <c:v>8. Aplinkos apsaugos programa</c:v>
                </c:pt>
                <c:pt idx="8">
                  <c:v>9. Savivaldybės ekonominės plėtros programa</c:v>
                </c:pt>
                <c:pt idx="9">
                  <c:v>10. Viešosios infrastruktūros plėtros programa</c:v>
                </c:pt>
              </c:strCache>
            </c:strRef>
          </c:cat>
          <c:val>
            <c:numRef>
              <c:f>Lapas1!$B$6:$B$15</c:f>
              <c:numCache>
                <c:formatCode>#,##0.000</c:formatCode>
                <c:ptCount val="10"/>
                <c:pt idx="0">
                  <c:v>2717.585</c:v>
                </c:pt>
                <c:pt idx="1">
                  <c:v>9919.39</c:v>
                </c:pt>
                <c:pt idx="2">
                  <c:v>1023.239</c:v>
                </c:pt>
                <c:pt idx="3">
                  <c:v>1113.4079999999999</c:v>
                </c:pt>
                <c:pt idx="4">
                  <c:v>228.15</c:v>
                </c:pt>
                <c:pt idx="5">
                  <c:v>4220.8159999999998</c:v>
                </c:pt>
                <c:pt idx="6">
                  <c:v>246.82</c:v>
                </c:pt>
                <c:pt idx="7">
                  <c:v>2807.9459999999999</c:v>
                </c:pt>
                <c:pt idx="8">
                  <c:v>1703.7570000000001</c:v>
                </c:pt>
                <c:pt idx="9">
                  <c:v>3833.7640000000001</c:v>
                </c:pt>
              </c:numCache>
            </c:numRef>
          </c:val>
          <c:extLst xmlns:c16r2="http://schemas.microsoft.com/office/drawing/2015/06/chart">
            <c:ext xmlns:c16="http://schemas.microsoft.com/office/drawing/2014/chart" uri="{C3380CC4-5D6E-409C-BE32-E72D297353CC}">
              <c16:uniqueId val="{00000008-C367-4E66-926D-97EA3D9EC119}"/>
            </c:ext>
          </c:extLst>
        </c:ser>
        <c:ser>
          <c:idx val="1"/>
          <c:order val="1"/>
          <c:tx>
            <c:v>2018 m. patikslintas planas</c:v>
          </c:tx>
          <c:spPr>
            <a:solidFill>
              <a:srgbClr val="FFFF00"/>
            </a:solidFill>
          </c:spPr>
          <c:invertIfNegative val="0"/>
          <c:dLbls>
            <c:spPr>
              <a:noFill/>
              <a:ln w="25400">
                <a:noFill/>
              </a:ln>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Lapas1!$D$6:$D$15</c:f>
              <c:numCache>
                <c:formatCode>0.000</c:formatCode>
                <c:ptCount val="10"/>
                <c:pt idx="0">
                  <c:v>2759.549</c:v>
                </c:pt>
                <c:pt idx="1">
                  <c:v>10068.800999999999</c:v>
                </c:pt>
                <c:pt idx="2">
                  <c:v>1040.181</c:v>
                </c:pt>
                <c:pt idx="3">
                  <c:v>1086.4390000000001</c:v>
                </c:pt>
                <c:pt idx="4">
                  <c:v>228.15</c:v>
                </c:pt>
                <c:pt idx="5">
                  <c:v>5002.4579999999996</c:v>
                </c:pt>
                <c:pt idx="6">
                  <c:v>466.65499999999997</c:v>
                </c:pt>
                <c:pt idx="7">
                  <c:v>2895.7460000000001</c:v>
                </c:pt>
                <c:pt idx="8">
                  <c:v>2003.953</c:v>
                </c:pt>
                <c:pt idx="9">
                  <c:v>6123.66</c:v>
                </c:pt>
              </c:numCache>
            </c:numRef>
          </c:val>
          <c:extLst xmlns:c16r2="http://schemas.microsoft.com/office/drawing/2015/06/chart">
            <c:ext xmlns:c16="http://schemas.microsoft.com/office/drawing/2014/chart" uri="{C3380CC4-5D6E-409C-BE32-E72D297353CC}">
              <c16:uniqueId val="{00000009-C367-4E66-926D-97EA3D9EC119}"/>
            </c:ext>
          </c:extLst>
        </c:ser>
        <c:ser>
          <c:idx val="2"/>
          <c:order val="2"/>
          <c:tx>
            <c:v>2019 m. biudžeto projektas</c:v>
          </c:tx>
          <c:spPr>
            <a:solidFill>
              <a:srgbClr val="92D050"/>
            </a:solidFill>
          </c:spPr>
          <c:invertIfNegative val="0"/>
          <c:dLbls>
            <c:spPr>
              <a:noFill/>
              <a:ln w="25400">
                <a:noFill/>
              </a:ln>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Lapas1!$F$6:$F$15</c:f>
              <c:numCache>
                <c:formatCode>#,##0.000</c:formatCode>
                <c:ptCount val="10"/>
                <c:pt idx="0">
                  <c:v>3186.09</c:v>
                </c:pt>
                <c:pt idx="1">
                  <c:v>11078.377</c:v>
                </c:pt>
                <c:pt idx="2">
                  <c:v>1181.6120000000001</c:v>
                </c:pt>
                <c:pt idx="3">
                  <c:v>1199.8209999999999</c:v>
                </c:pt>
                <c:pt idx="4">
                  <c:v>200.18899999999999</c:v>
                </c:pt>
                <c:pt idx="5">
                  <c:v>4345.9440000000004</c:v>
                </c:pt>
                <c:pt idx="6">
                  <c:v>215.267</c:v>
                </c:pt>
                <c:pt idx="7">
                  <c:v>2844.7820000000002</c:v>
                </c:pt>
                <c:pt idx="8">
                  <c:v>2892.2730000000001</c:v>
                </c:pt>
                <c:pt idx="9">
                  <c:v>3841.864</c:v>
                </c:pt>
              </c:numCache>
            </c:numRef>
          </c:val>
          <c:extLst xmlns:c16r2="http://schemas.microsoft.com/office/drawing/2015/06/chart">
            <c:ext xmlns:c16="http://schemas.microsoft.com/office/drawing/2014/chart" uri="{C3380CC4-5D6E-409C-BE32-E72D297353CC}">
              <c16:uniqueId val="{0000000A-C367-4E66-926D-97EA3D9EC119}"/>
            </c:ext>
          </c:extLst>
        </c:ser>
        <c:dLbls>
          <c:showLegendKey val="0"/>
          <c:showVal val="0"/>
          <c:showCatName val="0"/>
          <c:showSerName val="0"/>
          <c:showPercent val="0"/>
          <c:showBubbleSize val="0"/>
        </c:dLbls>
        <c:gapWidth val="100"/>
        <c:axId val="325862736"/>
        <c:axId val="325867832"/>
      </c:barChart>
      <c:catAx>
        <c:axId val="325862736"/>
        <c:scaling>
          <c:orientation val="minMax"/>
        </c:scaling>
        <c:delete val="0"/>
        <c:axPos val="l"/>
        <c:majorGridlines/>
        <c:minorGridlines/>
        <c:numFmt formatCode="General" sourceLinked="1"/>
        <c:majorTickMark val="out"/>
        <c:minorTickMark val="none"/>
        <c:tickLblPos val="nextTo"/>
        <c:txPr>
          <a:bodyPr rot="0"/>
          <a:lstStyle/>
          <a:p>
            <a:pPr>
              <a:defRPr/>
            </a:pPr>
            <a:endParaRPr lang="lt-LT"/>
          </a:p>
        </c:txPr>
        <c:crossAx val="325867832"/>
        <c:crosses val="autoZero"/>
        <c:auto val="0"/>
        <c:lblAlgn val="ctr"/>
        <c:lblOffset val="100"/>
        <c:noMultiLvlLbl val="0"/>
      </c:catAx>
      <c:valAx>
        <c:axId val="325867832"/>
        <c:scaling>
          <c:orientation val="minMax"/>
        </c:scaling>
        <c:delete val="0"/>
        <c:axPos val="b"/>
        <c:majorGridlines/>
        <c:numFmt formatCode="#,##0.000" sourceLinked="1"/>
        <c:majorTickMark val="out"/>
        <c:minorTickMark val="none"/>
        <c:tickLblPos val="nextTo"/>
        <c:crossAx val="325862736"/>
        <c:crosses val="autoZero"/>
        <c:crossBetween val="between"/>
      </c:valAx>
      <c:spPr>
        <a:ln cmpd="dbl">
          <a:solidFill>
            <a:schemeClr val="tx1"/>
          </a:solidFill>
          <a:prstDash val="sysDot"/>
        </a:ln>
      </c:spPr>
    </c:plotArea>
    <c:legend>
      <c:legendPos val="r"/>
      <c:layout>
        <c:manualLayout>
          <c:xMode val="edge"/>
          <c:yMode val="edge"/>
          <c:x val="0.8840228753733369"/>
          <c:y val="0.10236554910758479"/>
          <c:w val="0.11043635170603672"/>
          <c:h val="0.50432476473152288"/>
        </c:manualLayout>
      </c:layout>
      <c:overlay val="0"/>
    </c:legend>
    <c:plotVisOnly val="1"/>
    <c:dispBlanksAs val="zero"/>
    <c:showDLblsOverMax val="0"/>
  </c:chart>
  <c:txPr>
    <a:bodyPr/>
    <a:lstStyle/>
    <a:p>
      <a:pPr>
        <a:defRPr sz="1000" b="0" i="0" u="none" strike="noStrike" baseline="0">
          <a:ln>
            <a:noFill/>
          </a:ln>
          <a:solidFill>
            <a:srgbClr val="000000"/>
          </a:solidFill>
          <a:latin typeface="Calibri"/>
          <a:ea typeface="Calibri"/>
          <a:cs typeface="Calibri"/>
        </a:defRPr>
      </a:pPr>
      <a:endParaRPr lang="lt-LT"/>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DAE58-85E9-4C6C-9829-76EBA592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18194</Words>
  <Characters>10372</Characters>
  <Application>Microsoft Office Word</Application>
  <DocSecurity>0</DocSecurity>
  <Lines>86</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VISAGINO SAVIVALDYBĖS ADMINISTRACIJOS FINANSŲ SKYRIUS</vt:lpstr>
      <vt:lpstr>VISAGINO SAVIVALDYBĖS ADMINISTRACIJOS FINANSŲ SKYRIUS</vt:lpstr>
    </vt:vector>
  </TitlesOfParts>
  <Company>Visagino savivaldybes administracija</Company>
  <LinksUpToDate>false</LinksUpToDate>
  <CharactersWithSpaces>28509</CharactersWithSpaces>
  <SharedDoc>false</SharedDoc>
  <HLinks>
    <vt:vector size="6" baseType="variant">
      <vt:variant>
        <vt:i4>6553601</vt:i4>
      </vt:variant>
      <vt:variant>
        <vt:i4>6</vt:i4>
      </vt:variant>
      <vt:variant>
        <vt:i4>0</vt:i4>
      </vt:variant>
      <vt:variant>
        <vt:i4>5</vt:i4>
      </vt:variant>
      <vt:variant>
        <vt:lpwstr>mailto:nadezda.rybakova@visaginas.lt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VISAGINO SAVIVALDYBĖS ADMINISTRACIJOS FINANSŲ SKYRIUS</dc:title>
  <dc:subject/>
  <dc:creator>Irena Kaziukonienė</dc:creator>
  <cp:keywords/>
  <cp:lastModifiedBy>User</cp:lastModifiedBy>
  <cp:revision>5</cp:revision>
  <cp:lastPrinted>2020-01-28T08:35:00Z</cp:lastPrinted>
  <dcterms:created xsi:type="dcterms:W3CDTF">2020-01-31T12:06:00Z</dcterms:created>
  <dcterms:modified xsi:type="dcterms:W3CDTF">2020-01-31T12:11:00Z</dcterms:modified>
</cp:coreProperties>
</file>