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31B2" w14:textId="77777777" w:rsidR="009D12CB" w:rsidRPr="006829D0" w:rsidRDefault="009D12CB" w:rsidP="009D12CB">
      <w:pPr>
        <w:ind w:firstLine="567"/>
        <w:jc w:val="both"/>
        <w:rPr>
          <w:b/>
          <w:sz w:val="28"/>
          <w:szCs w:val="28"/>
        </w:rPr>
      </w:pPr>
      <w:r w:rsidRPr="006829D0">
        <w:rPr>
          <w:b/>
          <w:sz w:val="28"/>
          <w:szCs w:val="28"/>
        </w:rPr>
        <w:t>Kai kurių ženklų rašymo ir tarpų palikimo atmintinė</w:t>
      </w:r>
    </w:p>
    <w:p w14:paraId="76944351" w14:textId="77777777" w:rsidR="009D12CB" w:rsidRPr="006829D0" w:rsidRDefault="009D12CB" w:rsidP="009D12CB">
      <w:pPr>
        <w:ind w:firstLine="567"/>
        <w:jc w:val="both"/>
        <w:rPr>
          <w:b/>
        </w:rPr>
      </w:pPr>
    </w:p>
    <w:p w14:paraId="30E76979" w14:textId="77777777" w:rsidR="009D12CB" w:rsidRPr="006829D0" w:rsidRDefault="009D12CB" w:rsidP="009D12CB">
      <w:pPr>
        <w:ind w:firstLine="567"/>
        <w:jc w:val="both"/>
      </w:pPr>
      <w:r w:rsidRPr="000E0684">
        <w:rPr>
          <w:b/>
        </w:rPr>
        <w:t xml:space="preserve">Lietuviškų kabučių grafinė raiška </w:t>
      </w:r>
      <w:r w:rsidRPr="000E0684">
        <w:rPr>
          <w:bCs/>
        </w:rPr>
        <w:t>yra</w:t>
      </w:r>
      <w:r w:rsidRPr="000E0684">
        <w:rPr>
          <w:b/>
        </w:rPr>
        <w:t xml:space="preserve"> </w:t>
      </w:r>
      <w:r w:rsidRPr="006829D0">
        <w:t xml:space="preserve">„ABC“, t. y. apačioje devynetukai, viršuje – šešetukai. </w:t>
      </w:r>
      <w:r w:rsidRPr="000E0684">
        <w:t xml:space="preserve">Tokia lietuviškų kabučių grafinė raiška yra apibrėžta Lietuvių kalbos skyrybos taisyklėse (žr. Valstybinės lietuvių kalbos komisijos 2019-11-07 nutarimą Nr. N-8 (178) „Dėl Lietuvių kalbos skyrybos taisyklių“). </w:t>
      </w:r>
      <w:r w:rsidRPr="006829D0">
        <w:rPr>
          <w:rStyle w:val="highlight"/>
        </w:rPr>
        <w:t>Lietuviškos</w:t>
      </w:r>
      <w:r w:rsidRPr="006829D0">
        <w:t xml:space="preserve"> </w:t>
      </w:r>
      <w:r w:rsidRPr="006829D0">
        <w:rPr>
          <w:rStyle w:val="highlight"/>
        </w:rPr>
        <w:t>kabutės</w:t>
      </w:r>
      <w:r w:rsidRPr="006829D0">
        <w:t xml:space="preserve"> skiriasi nuo vartojamų kitose kalbose, pavyzdžiui, anglų kalboje vartojamos tokios </w:t>
      </w:r>
      <w:r w:rsidRPr="006829D0">
        <w:rPr>
          <w:rStyle w:val="highlight"/>
        </w:rPr>
        <w:t>kabutės</w:t>
      </w:r>
      <w:r w:rsidRPr="006829D0">
        <w:t xml:space="preserve"> –</w:t>
      </w:r>
      <w:r w:rsidRPr="006829D0">
        <w:rPr>
          <w:rStyle w:val="Grietas"/>
        </w:rPr>
        <w:t xml:space="preserve"> “</w:t>
      </w:r>
      <w:r w:rsidRPr="006829D0">
        <w:t>ABC</w:t>
      </w:r>
      <w:r w:rsidRPr="006829D0">
        <w:rPr>
          <w:rStyle w:val="Grietas"/>
        </w:rPr>
        <w:t>”</w:t>
      </w:r>
      <w:r w:rsidRPr="006829D0">
        <w:t xml:space="preserve">, skandinavų – </w:t>
      </w:r>
      <w:r w:rsidRPr="006829D0">
        <w:rPr>
          <w:rStyle w:val="Grietas"/>
        </w:rPr>
        <w:t>„</w:t>
      </w:r>
      <w:r w:rsidRPr="006829D0">
        <w:t>ABC</w:t>
      </w:r>
      <w:r w:rsidRPr="006829D0">
        <w:rPr>
          <w:rStyle w:val="Grietas"/>
        </w:rPr>
        <w:t>”</w:t>
      </w:r>
      <w:r w:rsidRPr="006829D0">
        <w:t xml:space="preserve">, rusų – </w:t>
      </w:r>
      <w:r w:rsidRPr="006829D0">
        <w:rPr>
          <w:rStyle w:val="Grietas"/>
        </w:rPr>
        <w:t>«</w:t>
      </w:r>
      <w:r w:rsidRPr="006829D0">
        <w:t>ABC</w:t>
      </w:r>
      <w:r w:rsidRPr="006829D0">
        <w:rPr>
          <w:rStyle w:val="Grietas"/>
        </w:rPr>
        <w:t>»</w:t>
      </w:r>
      <w:r w:rsidRPr="006829D0">
        <w:t xml:space="preserve">, kai kuriose kitose kalbose – </w:t>
      </w:r>
      <w:r w:rsidRPr="006829D0">
        <w:rPr>
          <w:rStyle w:val="Grietas"/>
        </w:rPr>
        <w:t>„</w:t>
      </w:r>
      <w:r w:rsidRPr="006829D0">
        <w:t>ABC</w:t>
      </w:r>
      <w:r w:rsidRPr="006829D0">
        <w:rPr>
          <w:rStyle w:val="Grietas"/>
        </w:rPr>
        <w:t>”</w:t>
      </w:r>
      <w:r w:rsidRPr="006829D0">
        <w:t xml:space="preserve">. </w:t>
      </w:r>
    </w:p>
    <w:p w14:paraId="38C601ED" w14:textId="77777777" w:rsidR="009D12CB" w:rsidRDefault="009D12CB" w:rsidP="009D12CB">
      <w:pPr>
        <w:ind w:firstLine="567"/>
        <w:jc w:val="both"/>
      </w:pPr>
      <w:r>
        <w:t xml:space="preserve">Sulietuvintose programos „Word“ laidose lietuviškos kabutės automatiškai pakeičiamos vietoj angliškųjų. Prireikus lietuviškas kabutes galima surinkti kodu: nuspaudus klavišą </w:t>
      </w:r>
      <w:proofErr w:type="spellStart"/>
      <w:r>
        <w:t>Alt</w:t>
      </w:r>
      <w:proofErr w:type="spellEnd"/>
      <w:r>
        <w:t xml:space="preserve"> surenkamas atidaromųjų kabučių kodas 0132 arba uždaromųjų – 0147. Tai universalus būdas, tinkamas visoms tekstų apdorojimo programoms. </w:t>
      </w:r>
    </w:p>
    <w:p w14:paraId="1F44B911" w14:textId="77777777" w:rsidR="009D12CB" w:rsidRDefault="009D12CB" w:rsidP="009D12CB">
      <w:pPr>
        <w:ind w:firstLine="567"/>
        <w:jc w:val="both"/>
      </w:pPr>
      <w:r>
        <w:t>Prireikus tekste pakeisti nelietuviškas kabutes lietuviškomis, taip pat brūkšnelį į skyrybos ženklą brūkšnį darbą palengvins ženklų keitimo programa „</w:t>
      </w:r>
      <w:proofErr w:type="spellStart"/>
      <w:r>
        <w:t>Lari</w:t>
      </w:r>
      <w:proofErr w:type="spellEnd"/>
      <w:r>
        <w:t xml:space="preserve">“, žr. </w:t>
      </w:r>
      <w:hyperlink r:id="rId4" w:history="1">
        <w:r w:rsidRPr="00C71612">
          <w:rPr>
            <w:rStyle w:val="Hipersaitas"/>
            <w:color w:val="000000" w:themeColor="text1"/>
            <w:u w:val="none"/>
          </w:rPr>
          <w:t>http://tmp.vhost.lt/lari</w:t>
        </w:r>
      </w:hyperlink>
      <w:r w:rsidRPr="00C71612">
        <w:rPr>
          <w:color w:val="000000" w:themeColor="text1"/>
        </w:rPr>
        <w:t xml:space="preserve">. </w:t>
      </w:r>
    </w:p>
    <w:p w14:paraId="2A7C7E18" w14:textId="77777777" w:rsidR="009D12CB" w:rsidRPr="000E0684" w:rsidRDefault="009D12CB" w:rsidP="009D12CB">
      <w:pPr>
        <w:ind w:firstLine="567"/>
        <w:jc w:val="both"/>
      </w:pPr>
      <w:r w:rsidRPr="006829D0">
        <w:rPr>
          <w:b/>
        </w:rPr>
        <w:t>Brūkšnelis</w:t>
      </w:r>
      <w:r w:rsidRPr="006829D0">
        <w:t xml:space="preserve"> rašomas tarp dviejų (kartais ir daugiau) sintaksiškai lygiaverčių žodžių, nusakančių vieno daikto, reiškinio ar vienos ypatybės pavadinimą, pvz.: </w:t>
      </w:r>
      <w:r w:rsidRPr="006829D0">
        <w:rPr>
          <w:rStyle w:val="Emfaz"/>
        </w:rPr>
        <w:t>lopšelis-darželis</w:t>
      </w:r>
      <w:r w:rsidRPr="006829D0">
        <w:t xml:space="preserve">, </w:t>
      </w:r>
      <w:r w:rsidRPr="006829D0">
        <w:rPr>
          <w:rStyle w:val="Emfaz"/>
        </w:rPr>
        <w:t>paskaita-koncertas</w:t>
      </w:r>
      <w:r w:rsidRPr="006829D0">
        <w:t xml:space="preserve"> ir kt. (tačiau nereikia brūkšnelio, kai antrasis žodis tarsi paaiškina, papildo pirmąjį, pvz., </w:t>
      </w:r>
      <w:r w:rsidRPr="006829D0">
        <w:rPr>
          <w:bCs/>
          <w:i/>
        </w:rPr>
        <w:t>šalys narės,  sąskaita faktūra</w:t>
      </w:r>
      <w:r w:rsidRPr="006829D0">
        <w:rPr>
          <w:b/>
          <w:bCs/>
        </w:rPr>
        <w:t>)</w:t>
      </w:r>
      <w:r w:rsidRPr="006829D0">
        <w:t xml:space="preserve">. Dar rašomas jungiant prie arabiškų skaitmenų antrąjį sudurtinio žodžio dėmenį, pvz., </w:t>
      </w:r>
      <w:r w:rsidRPr="006829D0">
        <w:rPr>
          <w:bCs/>
          <w:i/>
        </w:rPr>
        <w:t>50-metis</w:t>
      </w:r>
      <w:r w:rsidRPr="006829D0">
        <w:rPr>
          <w:bCs/>
        </w:rPr>
        <w:t xml:space="preserve">; </w:t>
      </w:r>
      <w:r w:rsidRPr="006829D0">
        <w:t xml:space="preserve">prie arabiško skaitmens pridedant kelintinio skaitvardžio galūnę, pvz., </w:t>
      </w:r>
      <w:r w:rsidRPr="006829D0">
        <w:rPr>
          <w:bCs/>
          <w:i/>
        </w:rPr>
        <w:t>8-asis pulkas</w:t>
      </w:r>
      <w:r w:rsidRPr="006829D0">
        <w:rPr>
          <w:bCs/>
        </w:rPr>
        <w:t>. Dokumentuose brūkšnelį reikia rašyti t</w:t>
      </w:r>
      <w:r w:rsidRPr="006829D0">
        <w:t xml:space="preserve">arp datą žyminčių skaitmenų grupių, pvz., </w:t>
      </w:r>
      <w:r w:rsidRPr="006829D0">
        <w:rPr>
          <w:bCs/>
        </w:rPr>
        <w:t>20</w:t>
      </w:r>
      <w:r>
        <w:rPr>
          <w:bCs/>
        </w:rPr>
        <w:t>2</w:t>
      </w:r>
      <w:r w:rsidRPr="006829D0">
        <w:rPr>
          <w:bCs/>
        </w:rPr>
        <w:t>3-</w:t>
      </w:r>
      <w:r>
        <w:rPr>
          <w:bCs/>
        </w:rPr>
        <w:t>12</w:t>
      </w:r>
      <w:r w:rsidRPr="006829D0">
        <w:rPr>
          <w:bCs/>
        </w:rPr>
        <w:t>-07</w:t>
      </w:r>
      <w:r>
        <w:rPr>
          <w:bCs/>
        </w:rPr>
        <w:t>.</w:t>
      </w:r>
      <w:r w:rsidRPr="006829D0">
        <w:rPr>
          <w:bCs/>
        </w:rPr>
        <w:t xml:space="preserve"> </w:t>
      </w:r>
    </w:p>
    <w:p w14:paraId="04FE2C0C" w14:textId="77777777" w:rsidR="009D12CB" w:rsidRPr="006829D0" w:rsidRDefault="009D12CB" w:rsidP="009D12CB">
      <w:pPr>
        <w:ind w:firstLine="567"/>
        <w:jc w:val="both"/>
        <w:rPr>
          <w:bCs/>
        </w:rPr>
      </w:pPr>
      <w:r w:rsidRPr="006829D0">
        <w:rPr>
          <w:bCs/>
        </w:rPr>
        <w:t xml:space="preserve">Brūkšnelis tarpais neskiriamas, jis yra bet kurioje klaviatūroje. </w:t>
      </w:r>
    </w:p>
    <w:p w14:paraId="25EC8D38" w14:textId="77777777" w:rsidR="009D12CB" w:rsidRPr="006829D0" w:rsidRDefault="009D12CB" w:rsidP="009D12CB">
      <w:pPr>
        <w:ind w:firstLine="567"/>
        <w:jc w:val="both"/>
      </w:pPr>
      <w:r w:rsidRPr="006829D0">
        <w:rPr>
          <w:b/>
        </w:rPr>
        <w:t>Brūkšnys</w:t>
      </w:r>
      <w:r w:rsidRPr="006829D0">
        <w:t xml:space="preserve"> yra skyrybos ženklas, juo skiriamos sakinio dalys, sakinių dėmenys, tiesioginė kalba</w:t>
      </w:r>
      <w:r>
        <w:t>,</w:t>
      </w:r>
      <w:r w:rsidRPr="006829D0">
        <w:t xml:space="preserve"> </w:t>
      </w:r>
      <w:r w:rsidRPr="002F58A1">
        <w:t>brūkšnys rašomas su tarpais abipus</w:t>
      </w:r>
      <w:r w:rsidRPr="006829D0">
        <w:rPr>
          <w:i/>
        </w:rPr>
        <w:t>.</w:t>
      </w:r>
    </w:p>
    <w:p w14:paraId="7EF27468" w14:textId="77777777" w:rsidR="009D12CB" w:rsidRPr="006829D0" w:rsidRDefault="009D12CB" w:rsidP="009D12CB">
      <w:pPr>
        <w:ind w:firstLine="567"/>
        <w:jc w:val="both"/>
      </w:pPr>
      <w:r w:rsidRPr="006829D0">
        <w:t xml:space="preserve">Brūkšnys taip pat rašomas tarp dviejų ar daugiau žodžių ar skaitmenų, žyminčių daiktų bei reiškinių vietos, laiko, kiekio, eilės ribas (pvz.: </w:t>
      </w:r>
      <w:r w:rsidRPr="006829D0">
        <w:rPr>
          <w:rStyle w:val="Emfaz"/>
        </w:rPr>
        <w:t>Traukinys Vilnius–</w:t>
      </w:r>
      <w:r>
        <w:rPr>
          <w:rStyle w:val="Emfaz"/>
        </w:rPr>
        <w:t>Turmantas</w:t>
      </w:r>
      <w:r w:rsidRPr="006829D0">
        <w:rPr>
          <w:rStyle w:val="Emfaz"/>
        </w:rPr>
        <w:t xml:space="preserve"> išvyks laiku</w:t>
      </w:r>
      <w:r w:rsidRPr="006829D0">
        <w:t xml:space="preserve">. </w:t>
      </w:r>
      <w:r w:rsidRPr="006829D0">
        <w:rPr>
          <w:rStyle w:val="Emfaz"/>
        </w:rPr>
        <w:t>Lankytojai priimami 12.30–16.30 valandomis</w:t>
      </w:r>
      <w:r w:rsidRPr="006829D0">
        <w:t>.</w:t>
      </w:r>
      <w:r w:rsidRPr="006829D0">
        <w:rPr>
          <w:rStyle w:val="Emfaz"/>
        </w:rPr>
        <w:t>).</w:t>
      </w:r>
      <w:r w:rsidRPr="006829D0">
        <w:t xml:space="preserve"> </w:t>
      </w:r>
    </w:p>
    <w:p w14:paraId="3668BC88" w14:textId="77777777" w:rsidR="009D12CB" w:rsidRPr="006829D0" w:rsidRDefault="009D12CB" w:rsidP="009D12CB">
      <w:pPr>
        <w:pStyle w:val="prastasiniatinklio"/>
        <w:spacing w:before="0" w:beforeAutospacing="0" w:after="0" w:afterAutospacing="0"/>
        <w:ind w:firstLine="567"/>
        <w:jc w:val="both"/>
        <w:rPr>
          <w:b/>
          <w:i/>
        </w:rPr>
      </w:pPr>
      <w:r w:rsidRPr="006829D0">
        <w:t>Tarp žodžių, reiškiančių dvišalius santykius, rašomas ilgas brūkšnys be tarpų (ne brūkšnelis), pvz.,</w:t>
      </w:r>
      <w:r w:rsidRPr="006829D0">
        <w:rPr>
          <w:b/>
          <w:bCs/>
        </w:rPr>
        <w:t xml:space="preserve"> </w:t>
      </w:r>
      <w:r w:rsidRPr="006829D0">
        <w:rPr>
          <w:bCs/>
          <w:i/>
        </w:rPr>
        <w:t>Molotovo–Ribentropo paktas</w:t>
      </w:r>
      <w:r w:rsidRPr="006829D0">
        <w:rPr>
          <w:b/>
          <w:bCs/>
          <w:i/>
        </w:rPr>
        <w:t xml:space="preserve">, </w:t>
      </w:r>
      <w:r w:rsidRPr="006829D0">
        <w:rPr>
          <w:b/>
          <w:i/>
        </w:rPr>
        <w:t> </w:t>
      </w:r>
      <w:r w:rsidRPr="006829D0">
        <w:rPr>
          <w:rStyle w:val="Grietas"/>
          <w:b w:val="0"/>
          <w:i/>
        </w:rPr>
        <w:t>perdavimo–priėmimo aktas</w:t>
      </w:r>
      <w:r w:rsidRPr="006829D0">
        <w:t xml:space="preserve"> (žinoma, gali būti rašomas ir jungtukas </w:t>
      </w:r>
      <w:r w:rsidRPr="006829D0">
        <w:rPr>
          <w:i/>
          <w:iCs/>
        </w:rPr>
        <w:t>ir</w:t>
      </w:r>
      <w:r w:rsidRPr="006829D0">
        <w:t xml:space="preserve"> </w:t>
      </w:r>
      <w:r w:rsidRPr="006829D0">
        <w:rPr>
          <w:i/>
        </w:rPr>
        <w:t>(</w:t>
      </w:r>
      <w:r w:rsidRPr="006829D0">
        <w:rPr>
          <w:bCs/>
          <w:i/>
        </w:rPr>
        <w:t>perdavimo ir priėmimo aktas)</w:t>
      </w:r>
      <w:r>
        <w:t>.</w:t>
      </w:r>
      <w:r w:rsidRPr="006829D0">
        <w:rPr>
          <w:b/>
          <w:i/>
        </w:rPr>
        <w:t xml:space="preserve"> </w:t>
      </w:r>
    </w:p>
    <w:p w14:paraId="6B1585E5" w14:textId="77777777" w:rsidR="009D12CB" w:rsidRPr="006829D0" w:rsidRDefault="009D12CB" w:rsidP="009D12CB">
      <w:pPr>
        <w:pStyle w:val="prastasiniatinklio"/>
        <w:spacing w:before="0" w:beforeAutospacing="0" w:after="0" w:afterAutospacing="0"/>
        <w:ind w:firstLine="567"/>
        <w:jc w:val="both"/>
      </w:pPr>
      <w:r w:rsidRPr="006829D0">
        <w:t xml:space="preserve">Brūkšnį, jei naudojatės nelietuviško standarto klaviatūra, galima surinkti </w:t>
      </w:r>
      <w:r w:rsidRPr="006829D0">
        <w:rPr>
          <w:rStyle w:val="Grietas"/>
          <w:b w:val="0"/>
          <w:i/>
        </w:rPr>
        <w:t>Alt+0150</w:t>
      </w:r>
      <w:r w:rsidRPr="006829D0">
        <w:t xml:space="preserve">, taip pat rasti ir simbolių rinkinyje arba tiesiog nusikopijuoti. </w:t>
      </w:r>
    </w:p>
    <w:p w14:paraId="33BE8FE3" w14:textId="77777777" w:rsidR="009D12CB" w:rsidRPr="006829D0" w:rsidRDefault="009D12CB" w:rsidP="009D12CB">
      <w:pPr>
        <w:pStyle w:val="prastasiniatinklio"/>
        <w:spacing w:before="0" w:beforeAutospacing="0" w:after="0" w:afterAutospacing="0"/>
        <w:ind w:firstLine="567"/>
        <w:jc w:val="both"/>
      </w:pPr>
      <w:r w:rsidRPr="006829D0">
        <w:rPr>
          <w:b/>
        </w:rPr>
        <w:t>Tarpas</w:t>
      </w:r>
      <w:r w:rsidRPr="006829D0">
        <w:t xml:space="preserve"> yra paliekamas tarp žodžių ir po skyrybos ženklų. Tarpus reikia palikti trumpinant žodžius: t. y., A. V., Nr. 1, tik būtina atkreipti dėmesį, kad tokia santrumpa, atsidūrusi eilutės gale, gali „sutrūkti“, t. y. viena jos dalis likti vienoje eilutėje, o kita atsidurti kitoje. Todėl tokio tipo santrumpose reikia vartoti </w:t>
      </w:r>
      <w:r w:rsidRPr="006829D0">
        <w:rPr>
          <w:b/>
        </w:rPr>
        <w:t xml:space="preserve">jungiamąjį tarpą, </w:t>
      </w:r>
      <w:r w:rsidRPr="006829D0">
        <w:t xml:space="preserve">kurio kodas </w:t>
      </w:r>
      <w:proofErr w:type="spellStart"/>
      <w:r w:rsidRPr="006829D0">
        <w:rPr>
          <w:i/>
        </w:rPr>
        <w:t>Alt</w:t>
      </w:r>
      <w:proofErr w:type="spellEnd"/>
      <w:r w:rsidRPr="006829D0">
        <w:rPr>
          <w:i/>
        </w:rPr>
        <w:t xml:space="preserve"> 0160</w:t>
      </w:r>
      <w:r w:rsidRPr="006829D0">
        <w:t xml:space="preserve"> (arba </w:t>
      </w:r>
      <w:proofErr w:type="spellStart"/>
      <w:r w:rsidRPr="006829D0">
        <w:t>Shift+Ctrl+tarpo</w:t>
      </w:r>
      <w:proofErr w:type="spellEnd"/>
      <w:r w:rsidRPr="006829D0">
        <w:t xml:space="preserve"> klavišas).</w:t>
      </w:r>
    </w:p>
    <w:p w14:paraId="30A2CE4F" w14:textId="77777777" w:rsidR="009D12CB" w:rsidRPr="006829D0" w:rsidRDefault="009D12CB" w:rsidP="009D12CB">
      <w:pPr>
        <w:pStyle w:val="prastasiniatinklio"/>
        <w:spacing w:before="0" w:beforeAutospacing="0" w:after="0" w:afterAutospacing="0"/>
        <w:ind w:firstLine="567"/>
        <w:jc w:val="both"/>
      </w:pPr>
      <w:r w:rsidRPr="006829D0">
        <w:rPr>
          <w:b/>
        </w:rPr>
        <w:t>Sakinio galo ženklai</w:t>
      </w:r>
      <w:r w:rsidRPr="006829D0">
        <w:t xml:space="preserve"> kabutėmis </w:t>
      </w:r>
      <w:proofErr w:type="spellStart"/>
      <w:r w:rsidRPr="006829D0">
        <w:t>skiriamõs</w:t>
      </w:r>
      <w:proofErr w:type="spellEnd"/>
      <w:r w:rsidRPr="006829D0">
        <w:t xml:space="preserve"> tiesioginės kalbos ir citatos sakinio pabaigoje rašomi </w:t>
      </w:r>
      <w:r w:rsidRPr="006829D0">
        <w:rPr>
          <w:b/>
          <w:bCs/>
        </w:rPr>
        <w:t>prieš uždaromąsias kabutes</w:t>
      </w:r>
      <w:r w:rsidRPr="006829D0">
        <w:t xml:space="preserve">, pvz.: </w:t>
      </w:r>
      <w:r w:rsidRPr="006829D0">
        <w:rPr>
          <w:rStyle w:val="Emfaz"/>
        </w:rPr>
        <w:t>Į ją pažiūrėję žmonės sakydavo: „Kokia graži ir maloni mergaitė</w:t>
      </w:r>
      <w:r w:rsidRPr="006829D0">
        <w:rPr>
          <w:rStyle w:val="Grietas"/>
          <w:i/>
          <w:iCs/>
        </w:rPr>
        <w:t>.“</w:t>
      </w:r>
      <w:r w:rsidRPr="006829D0">
        <w:rPr>
          <w:rStyle w:val="Emfaz"/>
        </w:rPr>
        <w:t xml:space="preserve"> </w:t>
      </w:r>
      <w:r w:rsidRPr="006829D0">
        <w:t xml:space="preserve">Tačiau, kai sakinio gale kabutėmis išskirtas simbolinis pavadinimas ar trumputė citata (ne citatos sakinys!), tada taškas rašomas po kabučių, pvz.: </w:t>
      </w:r>
      <w:r w:rsidRPr="006829D0">
        <w:rPr>
          <w:rStyle w:val="Emfaz"/>
        </w:rPr>
        <w:t>Bernardinai kviečia prisijungti prie akcijos „Kalėdinė sriuba</w:t>
      </w:r>
      <w:r w:rsidRPr="006829D0">
        <w:rPr>
          <w:rStyle w:val="Grietas"/>
          <w:i/>
          <w:iCs/>
        </w:rPr>
        <w:t>“.</w:t>
      </w:r>
      <w:r w:rsidRPr="006829D0">
        <w:rPr>
          <w:rStyle w:val="Emfaz"/>
        </w:rPr>
        <w:t xml:space="preserve"> </w:t>
      </w:r>
      <w:r w:rsidRPr="006829D0">
        <w:t xml:space="preserve">Ir dar viena pastaba: jei sakinio gale atsidūrė koks nors kabutėmis išskirtas pavadinimas, kurio pabaigoje yra klaustukas, šauktukas ar daugtaškis, tai tie ženklai atliks ir sakinio galo funkciją – papildomo sakinio galo ženklo po kabučių nereikia. Pvz.: </w:t>
      </w:r>
      <w:r w:rsidRPr="006829D0">
        <w:rPr>
          <w:rStyle w:val="Emfaz"/>
        </w:rPr>
        <w:t>Pastatytas spektaklis „Kaip užmušti Jasoną</w:t>
      </w:r>
      <w:r w:rsidRPr="006829D0">
        <w:rPr>
          <w:rStyle w:val="Grietas"/>
          <w:i/>
          <w:iCs/>
        </w:rPr>
        <w:t>?“</w:t>
      </w:r>
      <w:r w:rsidRPr="006829D0">
        <w:t xml:space="preserve"> Susidūrus dvejoms kabutėms, skliaustams, rašomos vienos </w:t>
      </w:r>
      <w:r w:rsidRPr="006829D0">
        <w:rPr>
          <w:rStyle w:val="highlight"/>
        </w:rPr>
        <w:t>kabutės</w:t>
      </w:r>
      <w:r w:rsidRPr="006829D0">
        <w:t>, vieni skliaustai (kaip ir susidūrus dviem kableliams ar kitiems skyrybos ženklams).</w:t>
      </w:r>
    </w:p>
    <w:p w14:paraId="70D1742E" w14:textId="77777777" w:rsidR="009D12CB" w:rsidRPr="006829D0" w:rsidRDefault="009D12CB" w:rsidP="009D12CB">
      <w:pPr>
        <w:pStyle w:val="prastasiniatinklio"/>
        <w:spacing w:before="0" w:beforeAutospacing="0" w:after="0" w:afterAutospacing="0"/>
        <w:jc w:val="both"/>
      </w:pPr>
    </w:p>
    <w:p w14:paraId="2E62ED7E" w14:textId="77777777" w:rsidR="009D12CB" w:rsidRPr="006829D0" w:rsidRDefault="009D12CB" w:rsidP="009D12CB">
      <w:pPr>
        <w:pStyle w:val="prastasiniatinklio"/>
        <w:spacing w:before="0" w:beforeAutospacing="0" w:after="0" w:afterAutospacing="0"/>
        <w:jc w:val="both"/>
      </w:pPr>
    </w:p>
    <w:p w14:paraId="243DBA17" w14:textId="77777777" w:rsidR="009D12CB" w:rsidRPr="006829D0" w:rsidRDefault="009D12CB" w:rsidP="009D12CB">
      <w:pPr>
        <w:pStyle w:val="prastasiniatinklio"/>
        <w:jc w:val="right"/>
      </w:pPr>
      <w:r w:rsidRPr="006829D0">
        <w:t>P</w:t>
      </w:r>
      <w:r>
        <w:t>arengta p</w:t>
      </w:r>
      <w:r w:rsidRPr="006829D0">
        <w:t xml:space="preserve">agal </w:t>
      </w:r>
      <w:hyperlink r:id="rId5" w:history="1">
        <w:r w:rsidRPr="002F58A1">
          <w:rPr>
            <w:rStyle w:val="Hipersaitas"/>
            <w:color w:val="000000" w:themeColor="text1"/>
            <w:u w:val="none"/>
          </w:rPr>
          <w:t>www.vlkk.lt</w:t>
        </w:r>
      </w:hyperlink>
      <w:r w:rsidRPr="002F58A1">
        <w:rPr>
          <w:color w:val="000000" w:themeColor="text1"/>
        </w:rPr>
        <w:t xml:space="preserve"> </w:t>
      </w:r>
      <w:r>
        <w:t>informaciją</w:t>
      </w:r>
    </w:p>
    <w:p w14:paraId="5AED163B" w14:textId="77777777" w:rsidR="006B5E66" w:rsidRDefault="006B5E66"/>
    <w:sectPr w:rsidR="006B5E66" w:rsidSect="009F1D81">
      <w:pgSz w:w="11906" w:h="16838" w:code="9"/>
      <w:pgMar w:top="1418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2CB"/>
    <w:rsid w:val="006B5E66"/>
    <w:rsid w:val="009D12CB"/>
    <w:rsid w:val="00C7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31D79"/>
  <w15:chartTrackingRefBased/>
  <w15:docId w15:val="{74FCAE89-D9F5-4061-95DB-7EF93BD69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D12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qFormat/>
    <w:rsid w:val="009D12CB"/>
    <w:rPr>
      <w:b/>
      <w:bCs/>
    </w:rPr>
  </w:style>
  <w:style w:type="character" w:styleId="Emfaz">
    <w:name w:val="Emphasis"/>
    <w:basedOn w:val="Numatytasispastraiposriftas"/>
    <w:qFormat/>
    <w:rsid w:val="009D12CB"/>
    <w:rPr>
      <w:i/>
      <w:iCs/>
    </w:rPr>
  </w:style>
  <w:style w:type="paragraph" w:styleId="prastasiniatinklio">
    <w:name w:val="Normal (Web)"/>
    <w:basedOn w:val="prastasis"/>
    <w:rsid w:val="009D12CB"/>
    <w:pPr>
      <w:spacing w:before="100" w:beforeAutospacing="1" w:after="100" w:afterAutospacing="1"/>
    </w:pPr>
  </w:style>
  <w:style w:type="character" w:customStyle="1" w:styleId="highlight">
    <w:name w:val="highlight"/>
    <w:basedOn w:val="Numatytasispastraiposriftas"/>
    <w:rsid w:val="009D12CB"/>
  </w:style>
  <w:style w:type="character" w:styleId="Hipersaitas">
    <w:name w:val="Hyperlink"/>
    <w:basedOn w:val="Numatytasispastraiposriftas"/>
    <w:rsid w:val="009D12CB"/>
    <w:rPr>
      <w:color w:val="0000FF"/>
      <w:u w:val="single"/>
    </w:rPr>
  </w:style>
  <w:style w:type="paragraph" w:customStyle="1" w:styleId="DiagramaDiagrama">
    <w:name w:val=" Diagrama Diagrama"/>
    <w:basedOn w:val="prastasis"/>
    <w:rsid w:val="009D12C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lkk.lt" TargetMode="External"/><Relationship Id="rId4" Type="http://schemas.openxmlformats.org/officeDocument/2006/relationships/hyperlink" Target="http://tmp.vhost.lt/lari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3259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2024-01-09T08:24:00Z</dcterms:created>
  <dcterms:modified xsi:type="dcterms:W3CDTF">2024-01-09T08:24:00Z</dcterms:modified>
</cp:coreProperties>
</file>