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extended-properties" Target="docProps/app.xml"/>
  <Relationship Id="rId3" Type="http://schemas.openxmlformats.org/officeDocument/2006/relationships/officeDocument" Target="word/document.xml"/>
  <Relationship Id="rId4" Type="http://schemas.openxmlformats.org/package/2006/relationships/metadata/core-properties" Target="docProps/core.xml"/>
</Relationships>

</file>

<file path=word/document.xml><?xml version="1.0" encoding="utf-8"?>
<w: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taisx="http://lrs.lt/TAIS/DocPartXmlMark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body>
    <w:p>
      <w:pPr>
        <w:jc w:val="both"/>
        <w:rPr>
          <w:rFonts w:ascii="Times New Roman" w:hAnsi="Times New Roman"/>
        </w:rPr>
      </w:pPr>
      <w:r>
        <w:rPr>
          <w:rFonts w:ascii="Times New Roman" w:hAnsi="Times New Roman"/>
          <w:b/>
          <w:i/>
        </w:rPr>
        <w:t>Suvestinė redakcija nuo 2025-07-01</w:t>
      </w:r>
    </w:p>
    <w:p>
      <w:pPr>
        <w:jc w:val="both"/>
        <w:rPr>
          <w:rFonts w:ascii="Times New Roman" w:hAnsi="Times New Roman"/>
          <w:sz w:val="20"/>
        </w:rPr>
      </w:pPr>
    </w:p>
    <w:p>
      <w:pPr>
        <w:jc w:val="both"/>
        <w:rPr>
          <w:rFonts w:ascii="Times New Roman" w:hAnsi="Times New Roman"/>
          <w:sz w:val="20"/>
        </w:rPr>
      </w:pPr>
      <w:bookmarkStart w:id="0" w:name="_GoBack"/>
      <w:bookmarkEnd w:id="0"/>
      <w:r>
        <w:rPr>
          <w:rFonts w:ascii="Times New Roman" w:hAnsi="Times New Roman"/>
          <w:sz w:val="20"/>
          <w:i/>
        </w:rPr>
        <w:t xml:space="preserve">Sprendimas paskelbtas: TAR 2019-12-23, i. k. 2019-21063</w:t>
      </w:r>
    </w:p>
    <w:p>
      <w:pPr>
        <w:jc w:val="both"/>
        <w:rPr>
          <w:rFonts w:ascii="Times New Roman" w:hAnsi="Times New Roman"/>
          <w:sz w:val="20"/>
        </w:rPr>
      </w:pPr>
    </w:p>
    <w:p>
      <w:pPr>
        <w:tabs>
          <w:tab w:val="center" w:pos="4819"/>
          <w:tab w:val="right" w:pos="9638"/>
        </w:tabs>
        <w:jc w:val="center"/>
      </w:pPr>
      <w:r>
        <w:rPr>
          <w:lang w:eastAsia="lt-LT"/>
        </w:rPr>
        <w:drawing>
          <wp:inline distT="0" distB="0" distL="0" distR="0">
            <wp:extent cx="542925" cy="5905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90550"/>
                    </a:xfrm>
                    <a:prstGeom prst="rect">
                      <a:avLst/>
                    </a:prstGeom>
                    <a:noFill/>
                    <a:ln>
                      <a:noFill/>
                    </a:ln>
                  </pic:spPr>
                </pic:pic>
              </a:graphicData>
            </a:graphic>
          </wp:inline>
        </w:drawing>
      </w:r>
    </w:p>
    <w:p>
      <w:pPr>
        <w:jc w:val="center"/>
        <w:rPr>
          <w:b/>
          <w:caps/>
        </w:rPr>
      </w:pPr>
      <w:r>
        <w:rPr>
          <w:b/>
          <w:caps/>
        </w:rPr>
        <w:t>Visagino savivaldybės taryba</w:t>
      </w:r>
    </w:p>
    <w:p>
      <w:pPr>
        <w:jc w:val="center"/>
        <w:rPr>
          <w:caps/>
        </w:rPr>
      </w:pPr>
    </w:p>
    <w:p>
      <w:pPr>
        <w:jc w:val="center"/>
        <w:rPr>
          <w:b/>
          <w:caps/>
        </w:rPr>
      </w:pPr>
      <w:r>
        <w:rPr>
          <w:b/>
          <w:caps/>
        </w:rPr>
        <w:t>sprendimas</w:t>
      </w:r>
    </w:p>
    <w:p>
      <w:pPr>
        <w:tabs>
          <w:tab w:val="left" w:pos="5557"/>
          <w:tab w:val="left" w:pos="6840"/>
          <w:tab w:val="left" w:pos="7020"/>
        </w:tabs>
        <w:jc w:val="center"/>
        <w:rPr>
          <w:b/>
          <w:szCs w:val="24"/>
        </w:rPr>
      </w:pPr>
      <w:r>
        <w:rPr>
          <w:b/>
          <w:szCs w:val="24"/>
        </w:rPr>
        <w:t>DĖL ŽMOGAUS PALAIKŲ GABENIMO, SAUGOJIMO IR NENUSTATYTOS TAPATYBĖS ŽMOGAUS PALAIKŲ LAIDOJIMO ORGANIZAVIMO VISAGINO SAVIVALDYBĖJE TVARKOS APRAŠO PATVIRTINIMO</w:t>
      </w:r>
    </w:p>
    <w:p>
      <w:pPr>
        <w:jc w:val="center"/>
      </w:pPr>
    </w:p>
    <w:p>
      <w:pPr>
        <w:jc w:val="center"/>
      </w:pPr>
      <w:r>
        <w:t>2019 m. gruodžio 19 d. Nr. TS-279</w:t>
      </w:r>
    </w:p>
    <w:p>
      <w:pPr>
        <w:jc w:val="center"/>
      </w:pPr>
      <w:r>
        <w:t>Visaginas</w:t>
      </w:r>
    </w:p>
    <w:p>
      <w:pPr>
        <w:jc w:val="center"/>
        <w:rPr>
          <w:szCs w:val="24"/>
        </w:rPr>
      </w:pPr>
    </w:p>
    <w:p>
      <w:pPr>
        <w:jc w:val="center"/>
        <w:rPr>
          <w:szCs w:val="24"/>
        </w:rPr>
      </w:pPr>
    </w:p>
    <w:p>
      <w:pPr>
        <w:tabs>
          <w:tab w:val="left" w:pos="1560"/>
        </w:tabs>
        <w:ind w:firstLine="1418"/>
        <w:jc w:val="both"/>
        <w:rPr>
          <w:szCs w:val="24"/>
          <w:lang w:eastAsia="lt-LT"/>
        </w:rPr>
      </w:pPr>
      <w:r>
        <w:rPr>
          <w:szCs w:val="24"/>
        </w:rPr>
        <w:t>Visagino</w:t>
      </w:r>
      <w:r>
        <w:rPr>
          <w:szCs w:val="24"/>
          <w:lang w:eastAsia="lt-LT"/>
        </w:rPr>
        <w:t xml:space="preserve"> savivaldybės taryba, vadovaudamasi Lietuvos Respublikos vietos savivaldos įstatymo 16 straipsnio 4 dalimi, 18 straipsnio 1 dalimi, </w:t>
      </w:r>
      <w:r>
        <w:rPr>
          <w:bCs/>
          <w:szCs w:val="24"/>
        </w:rPr>
        <w:t xml:space="preserve">Žmogaus palaikų gabenimo patologinės anatomijos tyrimams ar teismo medicinos ekspertizėms ir tyrimams tvarkos aprašo, patvirtinto Lietuvos Respublikos sveikatos apsaugos ministro ir Lietuvos Respublikos vidaus reikalų ministro 2018 m. vasario 8 d. įsakymu Nr. V-157/1V-118 „Dėl Žmogaus palaikų gabenimo patologinės anatomijos tyrimams ar teismo medicinos ekspertizėms ir tyrimams tvarkos aprašo patvirtinimo“, 16 punktu, Nenustatytos tapatybės žmogaus palaikų laidojimo organizavimo tvarkos aprašo, patvirtinto Lietuvos Respublikos vidaus reikalų ministro 2011 m. rugsėjo 30 d. įsakymu Nr. 1V-725 „Dėl Nenustatytos tapatybės žmogaus palaikų laidojimo organizavimo tvarkos aprašo patvirtinimo“, 7 punktu, </w:t>
      </w:r>
      <w:r>
        <w:rPr>
          <w:bCs/>
          <w:spacing w:val="60"/>
          <w:szCs w:val="24"/>
        </w:rPr>
        <w:t>nusprendži</w:t>
      </w:r>
      <w:r>
        <w:rPr>
          <w:bCs/>
          <w:szCs w:val="24"/>
        </w:rPr>
        <w:t xml:space="preserve">a: </w:t>
      </w:r>
    </w:p>
    <w:p>
      <w:pPr>
        <w:widowControl w:val="0"/>
        <w:tabs>
          <w:tab w:val="left" w:pos="0"/>
          <w:tab w:val="left" w:pos="1560"/>
        </w:tabs>
        <w:ind w:firstLine="1418"/>
        <w:jc w:val="both"/>
        <w:rPr>
          <w:bCs/>
          <w:szCs w:val="24"/>
        </w:rPr>
      </w:pPr>
      <w:r>
        <w:rPr>
          <w:bCs/>
          <w:szCs w:val="24"/>
        </w:rPr>
        <w:t>1</w:t>
      </w:r>
      <w:r>
        <w:rPr>
          <w:bCs/>
          <w:szCs w:val="24"/>
        </w:rPr>
        <w:t>. Patvirtinti Žmogaus palaikų gabenimo, saugojimo ir nenustatytos tapatybės žmogaus palaikų laidojimo organizavimo Visagino savivaldybėje tvarkos aprašą (pridedama).</w:t>
      </w:r>
    </w:p>
    <w:p>
      <w:pPr>
        <w:widowControl w:val="0"/>
        <w:tabs>
          <w:tab w:val="left" w:pos="0"/>
          <w:tab w:val="left" w:pos="1134"/>
          <w:tab w:val="left" w:pos="1560"/>
        </w:tabs>
        <w:ind w:firstLine="1418"/>
        <w:jc w:val="both"/>
        <w:rPr>
          <w:bCs/>
          <w:szCs w:val="24"/>
        </w:rPr>
      </w:pPr>
      <w:r>
        <w:rPr>
          <w:bCs/>
          <w:szCs w:val="24"/>
        </w:rPr>
        <w:t>2</w:t>
      </w:r>
      <w:r>
        <w:rPr>
          <w:bCs/>
          <w:szCs w:val="24"/>
        </w:rPr>
        <w:t xml:space="preserve">. </w:t>
      </w:r>
      <w:r>
        <w:rPr>
          <w:bCs/>
          <w:szCs w:val="24"/>
          <w:lang w:val="en-GB"/>
        </w:rPr>
        <w:t>Pripažinti netekusiu galios Visagino savivaldybės tarybos 2017 m. gegužės 31 d. sprendimą Nr. TS-97</w:t>
      </w:r>
      <w:r>
        <w:t xml:space="preserve"> „Dėl Mirusiųjų ne stacionarinėje sveikatos priežiūros įstaigoje apžiūrėjimo, pervežimo atlikti teismo medicinos ir patologinės anatomijos tyrimus bei laikino laikymo Visagino savivaldybėje tvarkos aprašo patvirtinimo“.</w:t>
      </w:r>
    </w:p>
    <w:p>
      <w:pPr>
        <w:widowControl w:val="0"/>
        <w:tabs>
          <w:tab w:val="left" w:pos="0"/>
          <w:tab w:val="left" w:pos="1134"/>
          <w:tab w:val="left" w:pos="1560"/>
        </w:tabs>
        <w:ind w:firstLine="1418"/>
        <w:jc w:val="both"/>
      </w:pPr>
      <w:r>
        <w:rPr>
          <w:bCs/>
          <w:szCs w:val="24"/>
        </w:rPr>
        <w:t>3</w:t>
      </w:r>
      <w:r>
        <w:rPr>
          <w:bCs/>
          <w:szCs w:val="24"/>
        </w:rPr>
        <w:t xml:space="preserve">. </w:t>
      </w:r>
      <w:r>
        <w:rPr>
          <w:szCs w:val="24"/>
        </w:rPr>
        <w:t>Nustatyti, kad šis sprendimas įsigalioja 2020 m. sausio 1 d.</w:t>
      </w:r>
    </w:p>
    <w:p>
      <w:pPr>
        <w:tabs>
          <w:tab w:val="left" w:pos="4927"/>
        </w:tabs>
      </w:pPr>
    </w:p>
    <w:p>
      <w:pPr>
        <w:tabs>
          <w:tab w:val="left" w:pos="4927"/>
        </w:tabs>
      </w:pPr>
    </w:p>
    <w:p>
      <w:pPr>
        <w:tabs>
          <w:tab w:val="left" w:pos="4927"/>
        </w:tabs>
      </w:pPr>
    </w:p>
    <w:p>
      <w:pPr>
        <w:tabs>
          <w:tab w:val="left" w:pos="4927"/>
        </w:tabs>
      </w:pPr>
      <w:r>
        <w:t xml:space="preserve">Savivaldybės meras </w:t>
        <w:tab/>
        <w:t>Erlandas Galaguz</w:t>
      </w:r>
    </w:p>
    <w:p>
      <w:pPr>
        <w:ind w:left="5040"/>
        <w:jc w:val="both"/>
        <w:sectPr>
          <w:headerReference w:type="even" r:id="rId10"/>
          <w:headerReference w:type="default" r:id="rId11"/>
          <w:footerReference w:type="even" r:id="rId12"/>
          <w:footerReference w:type="default" r:id="rId13"/>
          <w:headerReference w:type="first" r:id="rId14"/>
          <w:footerReference w:type="first" r:id="rId15"/>
          <w:pgSz w:w="11906" w:h="16838"/>
          <w:pgMar w:top="1701" w:right="567" w:bottom="1134" w:left="1701" w:header="567" w:footer="567" w:gutter="0"/>
          <w:pgNumType w:start="1"/>
          <w:cols w:space="1296"/>
          <w:titlePg/>
          <w:docGrid w:linePitch="360"/>
        </w:sectPr>
      </w:pPr>
    </w:p>
    <w:p>
      <w:pPr>
        <w:ind w:left="5040"/>
        <w:jc w:val="both"/>
        <w:rPr>
          <w:szCs w:val="24"/>
        </w:rPr>
      </w:pPr>
      <w:r>
        <w:rPr>
          <w:szCs w:val="24"/>
        </w:rPr>
        <w:t>PATVIRTINTA</w:t>
      </w:r>
    </w:p>
    <w:p>
      <w:pPr>
        <w:ind w:left="5040"/>
        <w:jc w:val="both"/>
        <w:rPr>
          <w:szCs w:val="24"/>
        </w:rPr>
      </w:pPr>
      <w:r>
        <w:rPr>
          <w:szCs w:val="24"/>
        </w:rPr>
        <w:t>Visagino savivaldybės tarybos</w:t>
      </w:r>
    </w:p>
    <w:p>
      <w:pPr>
        <w:ind w:left="5040"/>
        <w:jc w:val="both"/>
        <w:rPr>
          <w:szCs w:val="24"/>
        </w:rPr>
      </w:pPr>
      <w:r>
        <w:rPr>
          <w:szCs w:val="24"/>
        </w:rPr>
        <w:t>2019 m. gruodžio 19 d. sprendimu Nr. TS-279</w:t>
      </w:r>
    </w:p>
    <w:p>
      <w:pPr>
        <w:jc w:val="center"/>
        <w:rPr>
          <w:b/>
          <w:szCs w:val="24"/>
        </w:rPr>
      </w:pPr>
    </w:p>
    <w:p>
      <w:pPr>
        <w:ind w:firstLine="567"/>
        <w:jc w:val="center"/>
        <w:rPr>
          <w:szCs w:val="24"/>
        </w:rPr>
      </w:pPr>
    </w:p>
    <w:p>
      <w:pPr>
        <w:ind w:firstLine="567"/>
        <w:jc w:val="center"/>
        <w:rPr>
          <w:b/>
          <w:szCs w:val="24"/>
        </w:rPr>
      </w:pPr>
      <w:r>
        <w:rPr>
          <w:b/>
          <w:szCs w:val="24"/>
        </w:rPr>
        <w:t>ŽMOGAUS PALAIKŲ GABENIMO, SAUGOJIMO IR NENUSTATYTOS TAPATYBĖS ŽMOGAUS PALAIKŲ LAIDOJIMO ORGANIZAVIMO VISAGINO SAVIVALDYBĖJE TVARKOS APRAŠAS</w:t>
      </w:r>
    </w:p>
    <w:p>
      <w:pPr>
        <w:ind w:firstLine="567"/>
        <w:jc w:val="center"/>
        <w:rPr>
          <w:szCs w:val="24"/>
        </w:rPr>
      </w:pPr>
    </w:p>
    <w:p>
      <w:pPr>
        <w:jc w:val="center"/>
        <w:rPr>
          <w:szCs w:val="24"/>
        </w:rPr>
      </w:pPr>
      <w:r>
        <w:rPr>
          <w:b/>
          <w:bCs/>
          <w:szCs w:val="24"/>
        </w:rPr>
        <w:t>I</w:t>
      </w:r>
      <w:r>
        <w:rPr>
          <w:b/>
          <w:bCs/>
          <w:szCs w:val="24"/>
        </w:rPr>
        <w:t xml:space="preserve"> SKYRIUS</w:t>
      </w:r>
    </w:p>
    <w:p>
      <w:pPr>
        <w:jc w:val="center"/>
        <w:rPr>
          <w:szCs w:val="24"/>
        </w:rPr>
      </w:pPr>
      <w:r>
        <w:rPr>
          <w:b/>
          <w:bCs/>
          <w:szCs w:val="24"/>
        </w:rPr>
        <w:t>BENDROSIOS NUOSTATOS</w:t>
      </w:r>
    </w:p>
    <w:p>
      <w:pPr>
        <w:ind w:firstLine="567"/>
        <w:jc w:val="both"/>
        <w:rPr>
          <w:szCs w:val="24"/>
        </w:rPr>
      </w:pPr>
    </w:p>
    <w:p>
      <w:pPr>
        <w:tabs>
          <w:tab w:val="left" w:pos="1418"/>
        </w:tabs>
        <w:ind w:firstLine="1134"/>
        <w:jc w:val="both"/>
        <w:rPr>
          <w:szCs w:val="24"/>
        </w:rPr>
      </w:pPr>
      <w:r>
        <w:rPr>
          <w:szCs w:val="24"/>
        </w:rPr>
        <w:t>1</w:t>
      </w:r>
      <w:r>
        <w:rPr>
          <w:szCs w:val="24"/>
        </w:rPr>
        <w:t>.</w:t>
        <w:tab/>
        <w:t>Žmogaus palaikų gabenimo, saugojimo ir nenustatytos tapatybės žmogaus palaikų laidojimo organizavimo Visagino savivaldybėje tvarkos aprašas (toliau – Aprašas) nustato žmogaus palaikų gabenimo patologinės anatomijos tyrimams ar žmogaus palaikų gabenimo teismo medicinos ekspertizėms ir tyrimams, nenustatytos tapatybės žmogaus palaikų ir palaikų, dėl kurių mirusiojo artimieji nesikreipia, taip pat žuvusiųjų ir mirusiųjų laikymo (saugojimo) sąlygas, sprendimo laidoti nenustatytos tapatybės žmogaus palaikus ir kapavietės skyrimo Visagino savivaldybėje (toliau – Savivaldybė) tvarką.</w:t>
      </w:r>
    </w:p>
    <w:p>
      <w:pPr>
        <w:tabs>
          <w:tab w:val="left" w:pos="1418"/>
        </w:tabs>
        <w:ind w:firstLine="1134"/>
        <w:jc w:val="both"/>
        <w:rPr>
          <w:szCs w:val="24"/>
        </w:rPr>
      </w:pPr>
      <w:r>
        <w:rPr>
          <w:szCs w:val="24"/>
        </w:rPr>
        <w:t>2</w:t>
      </w:r>
      <w:r>
        <w:rPr>
          <w:szCs w:val="24"/>
        </w:rPr>
        <w:t>.</w:t>
        <w:tab/>
        <w:t>Nenustatytos tapatybės žmogaus palaikų ir žmogaus palaikų, dėl kurių atsiėmimo mirusiojo artimieji nesikreipia, laikymas (saugojimas) ir laidojimas organizuojamas, kai yra žinoma, kad Savivaldybės teritorijoje asmuo nuolat gyveno arba Savivaldybės teritorijoje buvo aptikti žmogaus palaikai ir tyrimo metu jo tapatybės nustatyti nepavyko, arba buvo nustatytas mirties faktas asmens, neturinčio nuolatinės gyvenamosios vietos.</w:t>
      </w:r>
    </w:p>
    <w:p>
      <w:pPr>
        <w:tabs>
          <w:tab w:val="left" w:pos="1418"/>
        </w:tabs>
        <w:ind w:firstLine="1134"/>
        <w:jc w:val="both"/>
        <w:rPr>
          <w:szCs w:val="24"/>
        </w:rPr>
      </w:pPr>
      <w:r>
        <w:rPr>
          <w:szCs w:val="24"/>
        </w:rPr>
        <w:t>3</w:t>
      </w:r>
      <w:r>
        <w:rPr>
          <w:szCs w:val="24"/>
        </w:rPr>
        <w:t>.</w:t>
        <w:tab/>
        <w:t>Apraše vartojamos sąvokos atitinka Lietuvos Respublikos teismo ekspertizės įstatyme, Lietuvos Respublikos žmonių palaikų laidojimo įstatyme, Lietuvos Respublikos žmogaus mirties nustatymo ir kritinių būklių įstatyme ir Kapinių tvarkymo taisyklėse, patvirtintose Lietuvos Respublikos Vyriausybės 2008 lapkričio 19 d. nutarimu Nr. 1207 „Dėl Lietuvos Respublikos žmonių palaikų laidojimo įstatymo įgyvendinamųjų teisės aktų patvirtinimo“, vartojamas sąvokas.</w:t>
      </w:r>
    </w:p>
    <w:p>
      <w:pPr>
        <w:ind w:firstLine="720"/>
        <w:jc w:val="both"/>
        <w:rPr>
          <w:szCs w:val="24"/>
        </w:rPr>
      </w:pPr>
    </w:p>
    <w:p>
      <w:pPr>
        <w:jc w:val="center"/>
        <w:rPr>
          <w:b/>
          <w:bCs/>
          <w:szCs w:val="24"/>
        </w:rPr>
      </w:pPr>
      <w:r>
        <w:rPr>
          <w:b/>
          <w:bCs/>
          <w:szCs w:val="24"/>
        </w:rPr>
        <w:t>II</w:t>
      </w:r>
      <w:r>
        <w:rPr>
          <w:b/>
          <w:bCs/>
          <w:szCs w:val="24"/>
        </w:rPr>
        <w:t xml:space="preserve"> SKYRIUS</w:t>
      </w:r>
    </w:p>
    <w:p>
      <w:pPr>
        <w:jc w:val="center"/>
        <w:rPr>
          <w:b/>
          <w:bCs/>
          <w:szCs w:val="24"/>
        </w:rPr>
      </w:pPr>
      <w:r>
        <w:rPr>
          <w:b/>
          <w:bCs/>
          <w:szCs w:val="24"/>
        </w:rPr>
        <w:t>ŽMOGAUS PALAIKŲ GABENIMAS</w:t>
      </w:r>
    </w:p>
    <w:p>
      <w:pPr>
        <w:jc w:val="center"/>
        <w:rPr>
          <w:b/>
          <w:bCs/>
          <w:szCs w:val="24"/>
        </w:rPr>
      </w:pPr>
    </w:p>
    <w:p>
      <w:pPr>
        <w:tabs>
          <w:tab w:val="left" w:pos="1418"/>
        </w:tabs>
        <w:ind w:firstLine="1134"/>
        <w:jc w:val="both"/>
        <w:rPr>
          <w:bCs/>
          <w:szCs w:val="24"/>
        </w:rPr>
      </w:pPr>
      <w:r>
        <w:rPr>
          <w:bCs/>
          <w:szCs w:val="24"/>
        </w:rPr>
        <w:t>4</w:t>
      </w:r>
      <w:r>
        <w:rPr>
          <w:bCs/>
          <w:szCs w:val="24"/>
        </w:rPr>
        <w:t>.</w:t>
        <w:tab/>
        <w:t>Mirusiųjų, žuvusiųjų, nenustatytos tapatybės žmogaus palaikų ir palaikų, dėl kurių mirusiojo artimieji nesikreipia, gabenimo paslaugos apima pirminį palaikų iš įvykio vietos vežimą, žmogaus palaikų gabenimą patologinės anatomijos tyrimams ar teismo medicinos ekspertizėms ir tyrimams atlikti, palaikų laikymą (saugojimą), laidojimą.</w:t>
      </w:r>
    </w:p>
    <w:p>
      <w:pPr>
        <w:tabs>
          <w:tab w:val="left" w:pos="1418"/>
        </w:tabs>
        <w:ind w:firstLine="1134"/>
        <w:jc w:val="both"/>
        <w:rPr>
          <w:bCs/>
          <w:szCs w:val="24"/>
        </w:rPr>
      </w:pPr>
      <w:r>
        <w:rPr>
          <w:bCs/>
          <w:szCs w:val="24"/>
        </w:rPr>
        <w:t>5</w:t>
      </w:r>
      <w:r>
        <w:rPr>
          <w:bCs/>
          <w:szCs w:val="24"/>
        </w:rPr>
        <w:t>.</w:t>
        <w:tab/>
        <w:t>Konstatavus mirties faktą, žmogaus palaikus patologinės anatomijos tyrimams ar teismo medicinos ekspertizėms ir tyrimams gabena Savivaldybės administracijos Lietuvos Respublikos viešųjų pirkimų įstatymo nustatyta tvarka parinktas paslaugų teikėjas (toliau – Paslaugos teikėjas)</w:t>
      </w:r>
      <w:r>
        <w:rPr>
          <w:bCs/>
          <w:color w:val="FF0000"/>
          <w:szCs w:val="24"/>
        </w:rPr>
        <w:t xml:space="preserve"> </w:t>
      </w:r>
      <w:r>
        <w:rPr>
          <w:bCs/>
          <w:szCs w:val="24"/>
        </w:rPr>
        <w:t>pagal sutartyje nustatytas sąlygas.</w:t>
      </w:r>
    </w:p>
    <w:p>
      <w:pPr>
        <w:tabs>
          <w:tab w:val="left" w:pos="1418"/>
        </w:tabs>
        <w:ind w:firstLine="1134"/>
        <w:jc w:val="both"/>
        <w:rPr>
          <w:bCs/>
          <w:szCs w:val="24"/>
        </w:rPr>
      </w:pPr>
      <w:r>
        <w:rPr>
          <w:bCs/>
          <w:szCs w:val="24"/>
        </w:rPr>
        <w:t>6</w:t>
      </w:r>
      <w:r>
        <w:rPr>
          <w:bCs/>
          <w:szCs w:val="24"/>
        </w:rPr>
        <w:t>.</w:t>
        <w:tab/>
        <w:t>Jei žmogus mirė asmens sveikatos priežiūros įstaigoje (toliau – ASPĮ), teikiančioje stacionarias asmens sveikatos priežiūros paslaugas, žmogaus palaikus patologinės anatomijos tyrimams ar teismo medicinos ekspertizėms ir tyrimams gabena laidojimo paslaugų teikėjas, su kuriuo ASPĮ yra pasirašiusi sutartį, arba ASPĮ savo transportu.</w:t>
      </w:r>
    </w:p>
    <w:p>
      <w:pPr>
        <w:tabs>
          <w:tab w:val="left" w:pos="1418"/>
        </w:tabs>
        <w:ind w:firstLine="1134"/>
        <w:jc w:val="both"/>
        <w:rPr>
          <w:bCs/>
          <w:szCs w:val="24"/>
        </w:rPr>
      </w:pPr>
      <w:r>
        <w:rPr>
          <w:bCs/>
          <w:szCs w:val="24"/>
        </w:rPr>
        <w:t>7</w:t>
      </w:r>
      <w:r>
        <w:rPr>
          <w:bCs/>
          <w:szCs w:val="24"/>
        </w:rPr>
        <w:t>.</w:t>
        <w:tab/>
        <w:t>Savivaldybės administracija apie atrinktą Paslaugos teikėją turi informuoti Savivaldybės teritorijoje esantį policijos komisariatą, prokuratūrą, teismo medicinos ekspertizes ir tyrimus atliekančią įstaigą ar padalinį, Savivaldybėje esančias ASPĮ, taip pat paskelbti šią informaciją Savivaldybės interneto svetainėje.</w:t>
      </w:r>
    </w:p>
    <w:p>
      <w:pPr>
        <w:ind w:firstLine="1134"/>
        <w:jc w:val="both"/>
        <w:rPr>
          <w:bCs/>
          <w:szCs w:val="24"/>
        </w:rPr>
      </w:pPr>
      <w:r>
        <w:rPr>
          <w:iCs/>
          <w:kern w:val="24"/>
          <w:szCs w:val="24"/>
          <w:lang w:eastAsia="ar-SA"/>
        </w:rPr>
        <w:t>8</w:t>
      </w:r>
      <w:r>
        <w:rPr>
          <w:iCs/>
          <w:kern w:val="24"/>
          <w:szCs w:val="24"/>
          <w:lang w:eastAsia="ar-SA"/>
        </w:rPr>
        <w:t xml:space="preserve">. </w:t>
      </w:r>
      <w:r>
        <w:rPr>
          <w:szCs w:val="24"/>
        </w:rPr>
        <w:t>Žmogaus palaikai patologinės anatomijos tyrimams ar teismo medicinos ekspertizėms ir tyrimams gabenami kartu su policijos ar prokuratūros pareigūno pateikta užduotimi, ambulatorines asmens sveikatos priežiūros paslaugas (toliau – ambulatorines ASPP) teikiančios ASPĮ šeimos gydytojo ar gydžiusio gydytojo (toliau – šeimos gydytojas) pateiktu Paciento pomirtinio tyrimo skyrimo aktu, patvirtintu Lietuvos Respublikos sveikatos apsaugos ministro įsakymu (toliau – Paciento pomirtinio tyrimo skyrimo aktas), arba teismo nutartimi skirti medicinos ekspertizę į dokumentuose nurodytą teismo medicinos ekspertizės įstaigą. Teismo medicinos ekspertizės įstaigos nedarbo laiku žmogaus palaikai gabenami laikinai saugoti į Paslaugų teikėjo nustatytą žmogaus palaikų saugojimo vietą.</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2b1fc3b14ff111f0b070ee7f1ceefc75">
        <w:r w:rsidRPr="00532B9F">
          <w:rPr>
            <w:rFonts w:ascii="Times New Roman" w:eastAsia="MS Mincho" w:hAnsi="Times New Roman"/>
            <w:sz w:val="20"/>
            <w:i/>
            <w:iCs/>
            <w:color w:val="0000FF" w:themeColor="hyperlink"/>
            <w:u w:val="single"/>
          </w:rPr>
          <w:t>TS-94</w:t>
        </w:r>
      </w:fldSimple>
      <w:r>
        <w:rPr>
          <w:rFonts w:ascii="Times New Roman" w:eastAsia="MS Mincho" w:hAnsi="Times New Roman"/>
          <w:sz w:val="20"/>
          <w:i/>
          <w:iCs/>
        </w:rPr>
        <w:t>,
2025-06-19,
paskelbta TAR 2025-06-23, i. k. 2025-11322            </w:t>
      </w:r>
    </w:p>
    <w:p/>
    <w:p>
      <w:pPr>
        <w:tabs>
          <w:tab w:val="left" w:pos="1418"/>
          <w:tab w:val="left" w:pos="1560"/>
        </w:tabs>
        <w:ind w:firstLine="1134"/>
        <w:jc w:val="both"/>
        <w:rPr>
          <w:bCs/>
          <w:szCs w:val="24"/>
        </w:rPr>
      </w:pPr>
      <w:r>
        <w:rPr>
          <w:bCs/>
          <w:szCs w:val="24"/>
        </w:rPr>
        <w:t>9</w:t>
      </w:r>
      <w:r>
        <w:rPr>
          <w:bCs/>
          <w:szCs w:val="24"/>
        </w:rPr>
        <w:t>.</w:t>
        <w:tab/>
        <w:t>Policijos ar prokuratūros pareigūnai Paslaugos teikėjui žmogaus palaikus kartu su lydimaisiais dokumentais ir įvykio vietoje aptiktais mirusio asmens daiktais perduoda taip, kaip nurodyta Žmogaus palaikų gabenimo patologinės anatomijos tyrimams ar teismo medicinos ekspertizėms ir tyrimams tvarkos apraše</w:t>
      </w:r>
      <w:r>
        <w:rPr>
          <w:szCs w:val="24"/>
        </w:rPr>
        <w:t>, patvirtintame Lietuvos Respublikos sveikatos apsaugos ministro ir Lietuvos Respublikos vidaus reikalų ministro 2018 m. vasario 8 d. įsakymu Nr. V-157/1V-118 „Dėl Žmogaus palaikų gabenimo patologinės anatomijos tyrimams ar teismo medicinos ekspertizėms ir tyrimams tvarkos aprašo patvirtinimo“</w:t>
      </w:r>
      <w:r>
        <w:rPr>
          <w:bCs/>
          <w:szCs w:val="24"/>
        </w:rPr>
        <w:t>.</w:t>
      </w:r>
    </w:p>
    <w:p>
      <w:pPr>
        <w:tabs>
          <w:tab w:val="left" w:pos="1418"/>
          <w:tab w:val="left" w:pos="1560"/>
        </w:tabs>
        <w:ind w:firstLine="1134"/>
        <w:jc w:val="both"/>
        <w:rPr>
          <w:bCs/>
          <w:szCs w:val="24"/>
        </w:rPr>
      </w:pPr>
      <w:r>
        <w:rPr>
          <w:bCs/>
          <w:szCs w:val="24"/>
        </w:rPr>
        <w:t>10</w:t>
      </w:r>
      <w:r>
        <w:rPr>
          <w:bCs/>
          <w:szCs w:val="24"/>
        </w:rPr>
        <w:t>.</w:t>
        <w:tab/>
        <w:t>Paslaugos teikėjas visą parą (dvidešimt keturias valandas) turi užtikrinti nenustatytos tapatybės žmogaus palaikų ir žmogaus palaikų pervežimą laikinai saugoti į Paslaugų teikėjo nustatytą žmogaus palaikų saugojimo vietą arba esant teisiniam pagrindui į šarvojimo ar laidojimo vietą.</w:t>
      </w:r>
    </w:p>
    <w:p>
      <w:pPr>
        <w:jc w:val="center"/>
        <w:rPr>
          <w:b/>
          <w:bCs/>
          <w:szCs w:val="24"/>
        </w:rPr>
      </w:pPr>
    </w:p>
    <w:p>
      <w:pPr>
        <w:jc w:val="center"/>
        <w:rPr>
          <w:b/>
          <w:bCs/>
          <w:szCs w:val="24"/>
        </w:rPr>
      </w:pPr>
      <w:r>
        <w:rPr>
          <w:b/>
          <w:bCs/>
          <w:szCs w:val="24"/>
        </w:rPr>
        <w:t>III</w:t>
      </w:r>
      <w:r>
        <w:rPr>
          <w:b/>
          <w:bCs/>
          <w:szCs w:val="24"/>
        </w:rPr>
        <w:t xml:space="preserve"> SKYRIUS</w:t>
      </w:r>
    </w:p>
    <w:p>
      <w:pPr>
        <w:jc w:val="center"/>
        <w:rPr>
          <w:b/>
          <w:bCs/>
          <w:szCs w:val="24"/>
        </w:rPr>
      </w:pPr>
      <w:r>
        <w:rPr>
          <w:b/>
          <w:bCs/>
          <w:szCs w:val="24"/>
        </w:rPr>
        <w:t>ŽMOGAUS PALAIKŲ SAUGOJIMO TVARKA</w:t>
      </w:r>
    </w:p>
    <w:p>
      <w:pPr>
        <w:ind w:firstLine="709"/>
        <w:jc w:val="center"/>
        <w:rPr>
          <w:szCs w:val="24"/>
        </w:rPr>
      </w:pPr>
    </w:p>
    <w:p>
      <w:pPr>
        <w:tabs>
          <w:tab w:val="left" w:pos="709"/>
          <w:tab w:val="left" w:pos="1560"/>
        </w:tabs>
        <w:ind w:left="142" w:firstLine="992"/>
        <w:jc w:val="both"/>
        <w:rPr>
          <w:szCs w:val="24"/>
        </w:rPr>
      </w:pPr>
      <w:r>
        <w:rPr>
          <w:szCs w:val="24"/>
        </w:rPr>
        <w:t>11</w:t>
      </w:r>
      <w:r>
        <w:rPr>
          <w:szCs w:val="24"/>
        </w:rPr>
        <w:t>.</w:t>
        <w:tab/>
        <w:t>Žmogaus palaikai turi būti saugomi vadovaujantis Lietuvos higienos norma HN91:2013 ir kitais teisės aktais. Paslaugos teikėjas turi užtikrinti paslaugos teikimą ištisą parą, neišskiriant darbo, poilsio ir šventinių dienų.</w:t>
      </w:r>
    </w:p>
    <w:p>
      <w:pPr>
        <w:tabs>
          <w:tab w:val="left" w:pos="709"/>
          <w:tab w:val="left" w:pos="1560"/>
        </w:tabs>
        <w:ind w:left="142" w:firstLine="992"/>
        <w:jc w:val="both"/>
        <w:rPr>
          <w:szCs w:val="24"/>
        </w:rPr>
      </w:pPr>
      <w:r>
        <w:rPr>
          <w:szCs w:val="24"/>
        </w:rPr>
        <w:t>12</w:t>
      </w:r>
      <w:r>
        <w:rPr>
          <w:szCs w:val="24"/>
        </w:rPr>
        <w:t>.</w:t>
        <w:tab/>
        <w:t xml:space="preserve">Saugojimo paslauga gali būti teikiama šiais atvejais: </w:t>
      </w:r>
    </w:p>
    <w:p>
      <w:pPr>
        <w:tabs>
          <w:tab w:val="left" w:pos="1560"/>
        </w:tabs>
        <w:ind w:firstLine="1134"/>
        <w:jc w:val="both"/>
        <w:rPr>
          <w:szCs w:val="24"/>
        </w:rPr>
      </w:pPr>
      <w:r>
        <w:rPr>
          <w:szCs w:val="24"/>
        </w:rPr>
        <w:t>12.1</w:t>
      </w:r>
      <w:r>
        <w:rPr>
          <w:szCs w:val="24"/>
        </w:rPr>
        <w:t xml:space="preserve">. kai neaiški mirties priežastis, nustatyta ar įtariama smurtinė staigi arba netikėta, tragiška mirtis arba mirusiajam jo paskutinio susirgimo metu nebuvo teikiama medicinos pagalba; </w:t>
      </w:r>
    </w:p>
    <w:p>
      <w:pPr>
        <w:tabs>
          <w:tab w:val="left" w:pos="1560"/>
        </w:tabs>
        <w:ind w:firstLine="1134"/>
        <w:jc w:val="both"/>
        <w:rPr>
          <w:szCs w:val="24"/>
        </w:rPr>
      </w:pPr>
      <w:r>
        <w:rPr>
          <w:szCs w:val="24"/>
        </w:rPr>
        <w:t>12.2</w:t>
      </w:r>
      <w:r>
        <w:rPr>
          <w:szCs w:val="24"/>
        </w:rPr>
        <w:t xml:space="preserve">. kai mirtis įvyko viešoje vietoje; </w:t>
      </w:r>
    </w:p>
    <w:p>
      <w:pPr>
        <w:tabs>
          <w:tab w:val="left" w:pos="1560"/>
        </w:tabs>
        <w:ind w:firstLine="1134"/>
        <w:jc w:val="both"/>
        <w:rPr>
          <w:szCs w:val="24"/>
        </w:rPr>
      </w:pPr>
      <w:r>
        <w:rPr>
          <w:szCs w:val="24"/>
        </w:rPr>
        <w:t>12.3</w:t>
      </w:r>
      <w:r>
        <w:rPr>
          <w:szCs w:val="24"/>
        </w:rPr>
        <w:t xml:space="preserve">. kai nustatyta arba įtariama, kad mirtis įvyko nuo gamybinės traumos, apsinuodijimo, profesinės ligos, ypač pavojingos infekcinės ligos; </w:t>
      </w:r>
    </w:p>
    <w:p>
      <w:pPr>
        <w:tabs>
          <w:tab w:val="left" w:pos="1560"/>
        </w:tabs>
        <w:ind w:firstLine="1134"/>
        <w:jc w:val="both"/>
        <w:rPr>
          <w:szCs w:val="24"/>
        </w:rPr>
      </w:pPr>
      <w:r>
        <w:rPr>
          <w:szCs w:val="24"/>
        </w:rPr>
        <w:t>12.4</w:t>
      </w:r>
      <w:r>
        <w:rPr>
          <w:szCs w:val="24"/>
        </w:rPr>
        <w:t>. Savivaldybės teritorijoje aptiktų nenustatytos tapatybės žmogaus palaikų ir palaikų, dėl kurių atsiėmimo mirusiojo artimieji nesikreipia, po teismo medicinos tyrimų, kol nustatyta teisės aktų tvarka bus išduotas leidimas laidoti;</w:t>
      </w:r>
    </w:p>
    <w:p>
      <w:pPr>
        <w:tabs>
          <w:tab w:val="left" w:pos="1560"/>
        </w:tabs>
        <w:ind w:firstLine="1134"/>
        <w:jc w:val="both"/>
        <w:rPr>
          <w:szCs w:val="24"/>
        </w:rPr>
      </w:pPr>
      <w:r>
        <w:rPr>
          <w:szCs w:val="24"/>
        </w:rPr>
        <w:t>12.5</w:t>
      </w:r>
      <w:r>
        <w:rPr>
          <w:szCs w:val="24"/>
        </w:rPr>
        <w:t>. kitais teisės aktų numatytais atvejais.</w:t>
      </w:r>
    </w:p>
    <w:p>
      <w:pPr>
        <w:rPr>
          <w:b/>
          <w:bCs/>
          <w:szCs w:val="24"/>
        </w:rPr>
      </w:pPr>
    </w:p>
    <w:p>
      <w:pPr>
        <w:jc w:val="center"/>
        <w:rPr>
          <w:b/>
          <w:bCs/>
          <w:szCs w:val="24"/>
        </w:rPr>
      </w:pPr>
      <w:r>
        <w:rPr>
          <w:b/>
          <w:bCs/>
          <w:szCs w:val="24"/>
        </w:rPr>
        <w:t>IV</w:t>
      </w:r>
      <w:r>
        <w:rPr>
          <w:b/>
          <w:bCs/>
          <w:szCs w:val="24"/>
        </w:rPr>
        <w:t xml:space="preserve"> SKYRIUS</w:t>
      </w:r>
    </w:p>
    <w:p>
      <w:pPr>
        <w:jc w:val="center"/>
        <w:rPr>
          <w:szCs w:val="24"/>
        </w:rPr>
      </w:pPr>
      <w:r>
        <w:rPr>
          <w:b/>
          <w:bCs/>
          <w:szCs w:val="24"/>
        </w:rPr>
        <w:t>NENUSTATYTOS TAPATYBĖS ŽMOGAUS PALAIKŲ LAIDOJIMAS</w:t>
      </w:r>
    </w:p>
    <w:p>
      <w:pPr>
        <w:ind w:firstLine="720"/>
        <w:jc w:val="both"/>
        <w:rPr>
          <w:szCs w:val="24"/>
        </w:rPr>
      </w:pPr>
    </w:p>
    <w:p>
      <w:pPr>
        <w:tabs>
          <w:tab w:val="left" w:pos="1560"/>
        </w:tabs>
        <w:ind w:firstLine="1134"/>
        <w:jc w:val="both"/>
        <w:rPr>
          <w:szCs w:val="24"/>
        </w:rPr>
      </w:pPr>
      <w:r>
        <w:rPr>
          <w:szCs w:val="24"/>
        </w:rPr>
        <w:t>13</w:t>
      </w:r>
      <w:r>
        <w:rPr>
          <w:szCs w:val="24"/>
        </w:rPr>
        <w:t>.</w:t>
        <w:tab/>
        <w:t>Nenustatytos tapatybės žmogaus palaikų laidojimą organizuoja Savivaldybės administracijos direktoriaus įgaliotas asmuo.</w:t>
      </w:r>
    </w:p>
    <w:p>
      <w:pPr>
        <w:tabs>
          <w:tab w:val="left" w:pos="1560"/>
        </w:tabs>
        <w:ind w:firstLine="1134"/>
        <w:jc w:val="both"/>
        <w:rPr>
          <w:szCs w:val="24"/>
        </w:rPr>
      </w:pPr>
      <w:r>
        <w:rPr>
          <w:szCs w:val="24"/>
        </w:rPr>
        <w:t>14</w:t>
      </w:r>
      <w:r>
        <w:rPr>
          <w:szCs w:val="24"/>
        </w:rPr>
        <w:t>.</w:t>
        <w:tab/>
        <w:t>Sprendimą laidoti nenustatytos tapatybės žmogaus palaikus Savivaldybės administracijos direktoriaus įgaliotas asmuo, įsitikinęs parengtų dokumentų informacijos teisingumu, priima kiek įmanoma greičiau, bet ne vėliau kaip per 5 darbo dienas nuo raštiško prokuroro leidimo gavimo dienos.</w:t>
      </w:r>
    </w:p>
    <w:p>
      <w:pPr>
        <w:tabs>
          <w:tab w:val="left" w:pos="1560"/>
        </w:tabs>
        <w:ind w:firstLine="1134"/>
        <w:jc w:val="both"/>
        <w:rPr>
          <w:szCs w:val="24"/>
        </w:rPr>
      </w:pPr>
      <w:r>
        <w:rPr>
          <w:szCs w:val="24"/>
        </w:rPr>
        <w:t>15</w:t>
      </w:r>
      <w:r>
        <w:rPr>
          <w:szCs w:val="24"/>
        </w:rPr>
        <w:t>.</w:t>
        <w:tab/>
        <w:t>Savivaldybės administracijos direktoriaus įgaliotas asmuo organizuoja laidotuves, dalyvauja laidojant nenustatytos tapatybės žmogaus palaikus ir yra atsakingas, kad būtų tinkamai įforminti Nenustatytos tapatybės žmogaus palaikų laidojimo organizavimo tvarkos aprašo, patvirtinto Lietuvos Respublikos vidaus reikalų ministro 2011 m. rugsėjo 30 d. įsakymu Nr. 1V-725 „Dėl Nenustatytos tapatybės žmogaus palaikų laidojimo organizavimo tvarkos aprašo patvirtinimo“ (toliau – Nenustatytos tapatybės žmogaus palaikų laidojimo organizavimo tvarka), 1 ir 2 prieduose pateikti dokumentai bei organizuoja tinkamą jų saugojimą.</w:t>
      </w:r>
    </w:p>
    <w:p>
      <w:pPr>
        <w:tabs>
          <w:tab w:val="left" w:pos="1560"/>
        </w:tabs>
        <w:ind w:firstLine="1134"/>
        <w:jc w:val="both"/>
        <w:rPr>
          <w:szCs w:val="24"/>
        </w:rPr>
      </w:pPr>
      <w:r>
        <w:rPr>
          <w:szCs w:val="24"/>
        </w:rPr>
        <w:t>16</w:t>
      </w:r>
      <w:r>
        <w:rPr>
          <w:szCs w:val="24"/>
        </w:rPr>
        <w:t>.</w:t>
        <w:tab/>
        <w:t>Nenustatytos tapatybės žmogaus palaikų palaidojimo akto kopiją Savivaldybės administracijos direktoriaus įgaliotas asmuo pateikia leidimą laidoti davusiam prokurorui.</w:t>
      </w:r>
    </w:p>
    <w:p>
      <w:pPr>
        <w:tabs>
          <w:tab w:val="left" w:pos="1560"/>
        </w:tabs>
        <w:ind w:firstLine="1134"/>
        <w:jc w:val="both"/>
        <w:rPr>
          <w:szCs w:val="24"/>
        </w:rPr>
      </w:pPr>
      <w:r>
        <w:rPr>
          <w:szCs w:val="24"/>
        </w:rPr>
        <w:t>17</w:t>
      </w:r>
      <w:r>
        <w:rPr>
          <w:szCs w:val="24"/>
        </w:rPr>
        <w:t>.</w:t>
        <w:tab/>
        <w:t>Nenustatytos tapatybės žmogaus palaikus laidoja Paslaugos teikėjas, teisės aktų nustatyta tvarka sudaręs su Savivaldybės administracija laidojimo paslaugų teikimo sutartį.</w:t>
      </w:r>
    </w:p>
    <w:p>
      <w:pPr>
        <w:tabs>
          <w:tab w:val="left" w:pos="1418"/>
          <w:tab w:val="left" w:pos="1560"/>
        </w:tabs>
        <w:ind w:firstLine="1134"/>
        <w:jc w:val="both"/>
        <w:rPr>
          <w:szCs w:val="24"/>
        </w:rPr>
      </w:pPr>
      <w:r>
        <w:rPr>
          <w:szCs w:val="24"/>
        </w:rPr>
        <w:t>18</w:t>
      </w:r>
      <w:r>
        <w:rPr>
          <w:szCs w:val="24"/>
        </w:rPr>
        <w:t>.</w:t>
        <w:tab/>
        <w:t>Nenustatytos tapatybės žmogaus palaikai laidojami kapinėse tam skirtose vietose. Nenustatytos tapatybės žmogaus palaikams ir palaikams, dėl kurių atsiėmimo mirusiojo artimieji nesikreipia, įskaitant balzamuotus ir kremuotus, laidoti skiriama kapavietė arba niša kolumbariume (jeigu toks yra).</w:t>
      </w:r>
    </w:p>
    <w:p>
      <w:pPr>
        <w:tabs>
          <w:tab w:val="left" w:pos="1560"/>
        </w:tabs>
        <w:ind w:firstLine="1134"/>
        <w:jc w:val="both"/>
        <w:rPr>
          <w:szCs w:val="24"/>
        </w:rPr>
      </w:pPr>
      <w:r>
        <w:rPr>
          <w:szCs w:val="24"/>
        </w:rPr>
        <w:t>19</w:t>
      </w:r>
      <w:r>
        <w:rPr>
          <w:szCs w:val="24"/>
        </w:rPr>
        <w:t>.</w:t>
        <w:tab/>
        <w:t>Ant nenustatytos tapatybės žmogaus kapo pritvirtinama lentelė, kurioje nurodoma palaikų palaidojimo data, kapavietės numeris, jeigu nustatyta žmogaus tapatybė, – vardas, pavardė, gimimo ir mirties data. Užrašui tapus sunkiai įskaitomam arba dingus, lentelė turi būti nedelsiant atnaujinta.</w:t>
      </w:r>
    </w:p>
    <w:p>
      <w:pPr>
        <w:tabs>
          <w:tab w:val="left" w:pos="1560"/>
        </w:tabs>
        <w:ind w:firstLine="1134"/>
        <w:jc w:val="both"/>
        <w:rPr>
          <w:szCs w:val="24"/>
        </w:rPr>
      </w:pPr>
      <w:r>
        <w:rPr>
          <w:szCs w:val="24"/>
        </w:rPr>
        <w:t>20</w:t>
      </w:r>
      <w:r>
        <w:rPr>
          <w:szCs w:val="24"/>
        </w:rPr>
        <w:t>.</w:t>
        <w:tab/>
        <w:t>Duomenis apie palaidotus nenustatytos tapatybės žmogaus palaikus registruoja kapinių prižiūrėtojas pagal Nenustatytos tapatybės žmogaus palaikų laidojimo organizavimo tvarkos aprašo 3 priedą.</w:t>
      </w:r>
    </w:p>
    <w:p>
      <w:pPr>
        <w:tabs>
          <w:tab w:val="left" w:pos="1560"/>
        </w:tabs>
        <w:ind w:firstLine="1134"/>
        <w:jc w:val="both"/>
        <w:rPr>
          <w:szCs w:val="24"/>
        </w:rPr>
      </w:pPr>
      <w:r>
        <w:rPr>
          <w:szCs w:val="24"/>
        </w:rPr>
        <w:t>21</w:t>
      </w:r>
      <w:r>
        <w:rPr>
          <w:szCs w:val="24"/>
        </w:rPr>
        <w:t>.</w:t>
        <w:tab/>
        <w:t>Laidojant nenustatytos tapatybės žmogaus palaikus dalyvauja Aprašo 15 punkte nurodytas asmuo, taip pat kapinių prižiūrėtojas.</w:t>
      </w:r>
    </w:p>
    <w:p>
      <w:pPr>
        <w:ind w:left="142" w:firstLine="993"/>
        <w:jc w:val="both"/>
        <w:rPr>
          <w:b/>
          <w:bCs/>
          <w:szCs w:val="24"/>
        </w:rPr>
      </w:pPr>
    </w:p>
    <w:p>
      <w:pPr>
        <w:jc w:val="center"/>
        <w:rPr>
          <w:b/>
          <w:bCs/>
          <w:szCs w:val="24"/>
        </w:rPr>
      </w:pPr>
      <w:r>
        <w:rPr>
          <w:b/>
          <w:bCs/>
          <w:szCs w:val="24"/>
        </w:rPr>
        <w:t>V</w:t>
      </w:r>
      <w:r>
        <w:rPr>
          <w:b/>
          <w:bCs/>
          <w:szCs w:val="24"/>
        </w:rPr>
        <w:t xml:space="preserve"> SKYRIUS</w:t>
      </w:r>
    </w:p>
    <w:p>
      <w:pPr>
        <w:tabs>
          <w:tab w:val="left" w:pos="1260"/>
        </w:tabs>
        <w:ind w:firstLine="737"/>
        <w:jc w:val="center"/>
        <w:rPr>
          <w:b/>
          <w:szCs w:val="24"/>
          <w:lang w:bidi="lo-LA"/>
        </w:rPr>
      </w:pPr>
      <w:r>
        <w:rPr>
          <w:b/>
          <w:szCs w:val="24"/>
          <w:lang w:bidi="lo-LA"/>
        </w:rPr>
        <w:t xml:space="preserve">APMOKĖJIMAS UŽ </w:t>
      </w:r>
      <w:r>
        <w:rPr>
          <w:b/>
          <w:szCs w:val="24"/>
        </w:rPr>
        <w:t>ŽMOGAUS PALAIKŲ GABENIMĄ PATOLOGINĖS ANATOMIJOS TYRIMAMS AR TEISMO MEDICINOS EKSPERTIZĖMS IR TYRIMAMS IR LAIKINO LAIKYMO PASLAUGAS</w:t>
      </w:r>
    </w:p>
    <w:p>
      <w:pPr>
        <w:jc w:val="center"/>
        <w:rPr>
          <w:b/>
          <w:bCs/>
          <w:szCs w:val="24"/>
        </w:rPr>
      </w:pPr>
    </w:p>
    <w:p>
      <w:pPr>
        <w:tabs>
          <w:tab w:val="left" w:pos="1560"/>
        </w:tabs>
        <w:ind w:firstLine="1134"/>
        <w:jc w:val="both"/>
        <w:rPr>
          <w:szCs w:val="24"/>
        </w:rPr>
      </w:pPr>
      <w:r>
        <w:rPr>
          <w:szCs w:val="24"/>
        </w:rPr>
        <w:t>22</w:t>
      </w:r>
      <w:r>
        <w:rPr>
          <w:szCs w:val="24"/>
        </w:rPr>
        <w:t>.</w:t>
        <w:tab/>
        <w:t xml:space="preserve">Už žmogaus palaikų gabenimą patologinės anatomijos tyrimams ar teismo medicinos ekspertizėms ir tyrimams (esant policijos ar prokuratūros pareigūno pateiktai užduočiai ar ambulatorines ASPP teikiančios ASPĮ šeimos gydytojui skyrus paciento pomirtinį tyrimą) ir laikino laikymo paslaugas, Paslaugų teikėjui Savivaldybės </w:t>
      </w:r>
      <w:r>
        <w:rPr>
          <w:szCs w:val="24"/>
          <w:lang w:eastAsia="zh-CN"/>
        </w:rPr>
        <w:t xml:space="preserve">administracija apmoka iš Savivaldybės biudžeto lėšų pagal su Paslaugų teikėju sudarytą </w:t>
      </w:r>
      <w:r>
        <w:rPr>
          <w:szCs w:val="24"/>
        </w:rPr>
        <w:t>Sutartį, jeigu:</w:t>
      </w:r>
    </w:p>
    <w:p>
      <w:pPr>
        <w:tabs>
          <w:tab w:val="left" w:pos="1560"/>
        </w:tabs>
        <w:ind w:left="720" w:firstLine="414"/>
        <w:jc w:val="both"/>
        <w:rPr>
          <w:szCs w:val="24"/>
          <w:lang w:eastAsia="lt-LT"/>
        </w:rPr>
      </w:pPr>
      <w:r>
        <w:rPr>
          <w:szCs w:val="24"/>
          <w:lang w:eastAsia="lt-LT"/>
        </w:rPr>
        <w:t>22.1</w:t>
      </w:r>
      <w:r>
        <w:rPr>
          <w:szCs w:val="24"/>
          <w:lang w:eastAsia="lt-LT"/>
        </w:rPr>
        <w:t>. miręs asmuo yra Savivaldybės gyventojas;</w:t>
      </w:r>
    </w:p>
    <w:p>
      <w:pPr>
        <w:tabs>
          <w:tab w:val="left" w:pos="1560"/>
        </w:tabs>
        <w:ind w:firstLine="1134"/>
        <w:jc w:val="both"/>
        <w:rPr>
          <w:color w:val="000000"/>
          <w:szCs w:val="24"/>
          <w:lang w:eastAsia="zh-CN"/>
        </w:rPr>
      </w:pPr>
      <w:r>
        <w:rPr>
          <w:szCs w:val="24"/>
          <w:lang w:eastAsia="lt-LT"/>
        </w:rPr>
        <w:t>22.2</w:t>
      </w:r>
      <w:r>
        <w:rPr>
          <w:szCs w:val="24"/>
          <w:lang w:eastAsia="lt-LT"/>
        </w:rPr>
        <w:t xml:space="preserve">. </w:t>
      </w:r>
      <w:r>
        <w:rPr>
          <w:color w:val="000000"/>
          <w:szCs w:val="24"/>
          <w:lang w:eastAsia="zh-CN"/>
        </w:rPr>
        <w:t>asmuo neturėjo nuolatinės gyvenamosios vietos, tačiau Visagino savivaldybės teritorijoje buvo nustatytas jo mirties faktas;</w:t>
      </w:r>
    </w:p>
    <w:p>
      <w:pPr>
        <w:tabs>
          <w:tab w:val="left" w:pos="1560"/>
        </w:tabs>
        <w:ind w:firstLine="1134"/>
        <w:jc w:val="both"/>
        <w:rPr>
          <w:color w:val="000000"/>
          <w:szCs w:val="24"/>
          <w:lang w:eastAsia="zh-CN"/>
        </w:rPr>
      </w:pPr>
      <w:r>
        <w:rPr>
          <w:color w:val="000000"/>
          <w:szCs w:val="24"/>
          <w:lang w:eastAsia="zh-CN"/>
        </w:rPr>
        <w:t>22.3</w:t>
      </w:r>
      <w:r>
        <w:rPr>
          <w:color w:val="000000"/>
          <w:szCs w:val="24"/>
          <w:lang w:eastAsia="zh-CN"/>
        </w:rPr>
        <w:t>. mirusiojo artimieji nesikreipia dėl palaikų laidojimo;</w:t>
      </w:r>
    </w:p>
    <w:p>
      <w:pPr>
        <w:tabs>
          <w:tab w:val="left" w:pos="1560"/>
        </w:tabs>
        <w:ind w:firstLine="1134"/>
        <w:jc w:val="both"/>
        <w:rPr>
          <w:color w:val="000000"/>
          <w:szCs w:val="24"/>
          <w:lang w:eastAsia="zh-CN"/>
        </w:rPr>
      </w:pPr>
      <w:r>
        <w:rPr>
          <w:color w:val="000000"/>
          <w:szCs w:val="24"/>
          <w:lang w:eastAsia="zh-CN"/>
        </w:rPr>
        <w:t>22.4</w:t>
      </w:r>
      <w:r>
        <w:rPr>
          <w:color w:val="000000"/>
          <w:szCs w:val="24"/>
          <w:lang w:eastAsia="zh-CN"/>
        </w:rPr>
        <w:t>. rasti n</w:t>
      </w:r>
      <w:r>
        <w:rPr>
          <w:color w:val="000000"/>
          <w:szCs w:val="24"/>
          <w:lang w:eastAsia="lt-LT"/>
        </w:rPr>
        <w:t xml:space="preserve">enustatytos tapatybės palaikai, kurių mirties faktas nustatytas </w:t>
      </w:r>
      <w:r>
        <w:rPr>
          <w:color w:val="000000"/>
          <w:szCs w:val="24"/>
          <w:lang w:eastAsia="zh-CN"/>
        </w:rPr>
        <w:t>Savivaldybės</w:t>
      </w:r>
      <w:r>
        <w:rPr>
          <w:color w:val="000000"/>
          <w:szCs w:val="24"/>
          <w:lang w:eastAsia="lt-LT"/>
        </w:rPr>
        <w:t xml:space="preserve"> </w:t>
      </w:r>
      <w:r>
        <w:rPr>
          <w:color w:val="000000"/>
          <w:szCs w:val="24"/>
          <w:lang w:eastAsia="zh-CN"/>
        </w:rPr>
        <w:t>teritorijoje.</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2b1fc3b14ff111f0b070ee7f1ceefc75">
        <w:r w:rsidRPr="00532B9F">
          <w:rPr>
            <w:rFonts w:ascii="Times New Roman" w:eastAsia="MS Mincho" w:hAnsi="Times New Roman"/>
            <w:sz w:val="20"/>
            <w:i/>
            <w:iCs/>
            <w:color w:val="0000FF" w:themeColor="hyperlink"/>
            <w:u w:val="single"/>
          </w:rPr>
          <w:t>TS-94</w:t>
        </w:r>
      </w:fldSimple>
      <w:r>
        <w:rPr>
          <w:rFonts w:ascii="Times New Roman" w:eastAsia="MS Mincho" w:hAnsi="Times New Roman"/>
          <w:sz w:val="20"/>
          <w:i/>
          <w:iCs/>
        </w:rPr>
        <w:t>,
2025-06-19,
paskelbta TAR 2025-06-23, i. k. 2025-11322            </w:t>
      </w:r>
    </w:p>
    <w:p/>
    <w:p>
      <w:pPr>
        <w:tabs>
          <w:tab w:val="left" w:pos="1560"/>
        </w:tabs>
        <w:ind w:firstLine="1134"/>
        <w:jc w:val="both"/>
        <w:rPr>
          <w:bCs/>
          <w:szCs w:val="24"/>
          <w:lang w:eastAsia="lt-LT"/>
        </w:rPr>
      </w:pPr>
      <w:r>
        <w:rPr>
          <w:szCs w:val="24"/>
        </w:rPr>
        <w:t>23</w:t>
      </w:r>
      <w:r>
        <w:rPr>
          <w:szCs w:val="24"/>
        </w:rPr>
        <w:t>.</w:t>
        <w:tab/>
        <w:t>Už žmogaus palaikų gabenimą patologinės anatomijos tyrimams ar teismo medicinos ekspertizėms ir tyrimams, reikalaujant artimiesiems (be policijos ar prokuratūros pareigūno pateiktos užduoties ar ambulatorines ASPP teikiančios ASPĮ šeimos gydytojo paciento pomirtinio tyrimo skyrimo), Paslaugų teikėjui apmoka mirusiojo artimieji. Mirusiojo artimieji už žmogaus palaikų gabenimą patologinės anatomijos tyrimams ar teismo medicinos ekspertizėms ir tyrimams Paslaugų teikėjui apmoka ir tuo atveju, jeigu ambulatorines ASPP teikiančios ASPĮ šeimos gydytojas Paciento pomirtinio tyrimo skyrimo aktą teikia reikalaujant mirusio šeimos nariams ar jo įstatyminiams atstovams.</w:t>
      </w:r>
      <w:r>
        <w:t xml:space="preserve"> </w:t>
      </w:r>
    </w:p>
    <w:p>
      <w:pPr>
        <w:pStyle w:val="PlainText"/>
        <w:rPr>
          <w:rFonts w:ascii="Times New Roman" w:eastAsia="MS Mincho" w:hAnsi="Times New Roman"/>
          <w:sz w:val="20"/>
          <w:i/>
          <w:iCs/>
        </w:rPr>
      </w:pPr>
      <w:r>
        <w:rPr>
          <w:rFonts w:ascii="Times New Roman" w:eastAsia="MS Mincho" w:hAnsi="Times New Roman"/>
          <w:sz w:val="20"/>
          <w:i/>
          <w:iCs/>
        </w:rPr>
        <w:t>Punkto pakeitimai:</w:t>
      </w:r>
    </w:p>
    <w:p>
      <w:pPr>
        <w:pStyle w:val="PlainText"/>
        <w:jc w:val="both"/>
        <w:rPr>
          <w:rFonts w:ascii="Times New Roman" w:eastAsia="MS Mincho" w:hAnsi="Times New Roman"/>
          <w:sz w:val="20"/>
          <w:i/>
          <w:iCs/>
        </w:rPr>
      </w:pPr>
      <w:r>
        <w:rPr>
          <w:rFonts w:ascii="Times New Roman" w:eastAsia="MS Mincho" w:hAnsi="Times New Roman"/>
          <w:sz w:val="20"/>
          <w:i/>
          <w:iCs/>
        </w:rPr>
        <w:t xml:space="preserve">Nr. </w:t>
      </w:r>
      <w:fldSimple w:instr="HYPERLINK https://www.e-tar.lt/portal/legalAct.html?documentId=2b1fc3b14ff111f0b070ee7f1ceefc75">
        <w:r w:rsidRPr="00532B9F">
          <w:rPr>
            <w:rFonts w:ascii="Times New Roman" w:eastAsia="MS Mincho" w:hAnsi="Times New Roman"/>
            <w:sz w:val="20"/>
            <w:i/>
            <w:iCs/>
            <w:color w:val="0000FF" w:themeColor="hyperlink"/>
            <w:u w:val="single"/>
          </w:rPr>
          <w:t>TS-94</w:t>
        </w:r>
      </w:fldSimple>
      <w:r>
        <w:rPr>
          <w:rFonts w:ascii="Times New Roman" w:eastAsia="MS Mincho" w:hAnsi="Times New Roman"/>
          <w:sz w:val="20"/>
          <w:i/>
          <w:iCs/>
        </w:rPr>
        <w:t>,
2025-06-19,
paskelbta TAR 2025-06-23, i. k. 2025-11322            </w:t>
      </w:r>
    </w:p>
    <w:p/>
    <w:p>
      <w:pPr>
        <w:tabs>
          <w:tab w:val="left" w:pos="1560"/>
        </w:tabs>
        <w:ind w:firstLine="1134"/>
        <w:jc w:val="both"/>
        <w:rPr>
          <w:bCs/>
          <w:szCs w:val="24"/>
        </w:rPr>
      </w:pPr>
      <w:r>
        <w:rPr>
          <w:bCs/>
          <w:szCs w:val="24"/>
        </w:rPr>
        <w:t>24</w:t>
      </w:r>
      <w:r>
        <w:rPr>
          <w:bCs/>
          <w:szCs w:val="24"/>
        </w:rPr>
        <w:t>.</w:t>
        <w:tab/>
      </w:r>
      <w:r>
        <w:rPr>
          <w:szCs w:val="24"/>
          <w:lang w:bidi="lo-LA"/>
        </w:rPr>
        <w:t>Paslaugų teikėjas, kreipdamasis į S</w:t>
      </w:r>
      <w:r>
        <w:rPr>
          <w:szCs w:val="24"/>
          <w:lang w:eastAsia="zh-CN"/>
        </w:rPr>
        <w:t xml:space="preserve">avivaldybės administraciją </w:t>
      </w:r>
      <w:r>
        <w:rPr>
          <w:szCs w:val="24"/>
          <w:lang w:bidi="lo-LA"/>
        </w:rPr>
        <w:t xml:space="preserve">dėl apmokėjimo už </w:t>
      </w:r>
      <w:r>
        <w:rPr>
          <w:szCs w:val="24"/>
        </w:rPr>
        <w:t>žmogaus palaikų gabenimą ir laikino laikymo paslaugas</w:t>
      </w:r>
      <w:r>
        <w:rPr>
          <w:szCs w:val="24"/>
          <w:lang w:bidi="lo-LA"/>
        </w:rPr>
        <w:t xml:space="preserve">, Aprašo 22.1–22.4 papunkčiuose nustatytais atvejais, privalo pateikti </w:t>
      </w:r>
      <w:r>
        <w:rPr>
          <w:szCs w:val="24"/>
        </w:rPr>
        <w:t>sąskaitas faktūras apie suteiktas žmogaus palaikų gabenimo ir laikino laikymo paslaugas ir užpildytą Aprašo priedą. Sąskaitoje faktūroje turi būti nurodyta visa informacija apie suteiktą paslaugą (data, mirusiojo vardas, pavardė, nuvažiuoti km, laikino laikymo trukmė).</w:t>
      </w:r>
    </w:p>
    <w:p>
      <w:pPr>
        <w:rPr>
          <w:b/>
          <w:bCs/>
          <w:szCs w:val="24"/>
        </w:rPr>
      </w:pPr>
    </w:p>
    <w:p>
      <w:pPr>
        <w:jc w:val="center"/>
        <w:rPr>
          <w:szCs w:val="24"/>
        </w:rPr>
      </w:pPr>
      <w:r>
        <w:rPr>
          <w:b/>
          <w:bCs/>
          <w:szCs w:val="24"/>
        </w:rPr>
        <w:t>VI</w:t>
      </w:r>
      <w:r>
        <w:rPr>
          <w:b/>
          <w:bCs/>
          <w:szCs w:val="24"/>
        </w:rPr>
        <w:t xml:space="preserve"> SKYRIUS</w:t>
      </w:r>
    </w:p>
    <w:p>
      <w:pPr>
        <w:jc w:val="center"/>
        <w:rPr>
          <w:szCs w:val="24"/>
        </w:rPr>
      </w:pPr>
      <w:r>
        <w:rPr>
          <w:b/>
          <w:bCs/>
          <w:szCs w:val="24"/>
        </w:rPr>
        <w:t>BAIGIAMOSIOS NUOSTATOS</w:t>
      </w:r>
    </w:p>
    <w:p>
      <w:pPr>
        <w:ind w:firstLine="567"/>
        <w:jc w:val="both"/>
        <w:rPr>
          <w:szCs w:val="24"/>
        </w:rPr>
      </w:pPr>
    </w:p>
    <w:p>
      <w:pPr>
        <w:tabs>
          <w:tab w:val="left" w:pos="1560"/>
        </w:tabs>
        <w:suppressAutoHyphens/>
        <w:ind w:firstLine="1134"/>
        <w:jc w:val="both"/>
        <w:rPr>
          <w:szCs w:val="24"/>
        </w:rPr>
      </w:pPr>
      <w:r>
        <w:rPr>
          <w:szCs w:val="24"/>
        </w:rPr>
        <w:t>25</w:t>
      </w:r>
      <w:r>
        <w:rPr>
          <w:szCs w:val="24"/>
        </w:rPr>
        <w:t>.</w:t>
        <w:tab/>
        <w:t>Paslaugų teikėjas atsako už žmogaus palaikų gabenimą patologinės anatomijos tyrimams ar teismo medicinos ekspertizėms ir tyrimams, laikino laikymo paslaugų teikimą nustatytomis sąlygomis ir teisingų duomenų apmokėjimui pateikimą.</w:t>
      </w:r>
    </w:p>
    <w:p>
      <w:pPr>
        <w:tabs>
          <w:tab w:val="left" w:pos="1560"/>
        </w:tabs>
        <w:ind w:firstLine="1134"/>
        <w:jc w:val="both"/>
        <w:rPr>
          <w:szCs w:val="24"/>
        </w:rPr>
      </w:pPr>
      <w:r>
        <w:rPr>
          <w:szCs w:val="24"/>
        </w:rPr>
        <w:t>26</w:t>
      </w:r>
      <w:r>
        <w:rPr>
          <w:szCs w:val="24"/>
        </w:rPr>
        <w:t>.</w:t>
        <w:tab/>
        <w:t>Kitus apraše nenumatytus žmogaus palaikų gabenimo, saugojimo, nenustatytos tapatybės žmogaus palaikų laidojimo paslaugų teikimo klausimus sprendžia Savivaldybės administracija teisės aktų nustatyta tvarka.</w:t>
      </w:r>
    </w:p>
    <w:p>
      <w:pPr>
        <w:tabs>
          <w:tab w:val="left" w:pos="1560"/>
        </w:tabs>
        <w:ind w:firstLine="1134"/>
        <w:jc w:val="both"/>
        <w:rPr>
          <w:szCs w:val="24"/>
        </w:rPr>
      </w:pPr>
      <w:r>
        <w:rPr>
          <w:szCs w:val="24"/>
        </w:rPr>
        <w:t>27</w:t>
      </w:r>
      <w:r>
        <w:rPr>
          <w:szCs w:val="24"/>
        </w:rPr>
        <w:t>.</w:t>
        <w:tab/>
        <w:t>Šis aprašas gali būti keičiamas ir / ar naikinamas Savivaldybės tarybos sprendimu.</w:t>
      </w:r>
    </w:p>
    <w:p>
      <w:pPr>
        <w:ind w:right="284"/>
        <w:jc w:val="center"/>
      </w:pPr>
      <w:r>
        <w:rPr>
          <w:szCs w:val="24"/>
        </w:rPr>
        <w:t>________________________</w:t>
      </w:r>
    </w:p>
    <w:p/>
    <w:p/>
    <w:p/>
    <w:p>
      <w:pPr>
        <w:pStyle w:val="PlainText"/>
        <w:rPr>
          <w:rFonts w:ascii="Times New Roman" w:eastAsia="MS Mincho" w:hAnsi="Times New Roman"/>
          <w:sz w:val="20"/>
          <w:b/>
          <w:iCs/>
        </w:rPr>
      </w:pPr>
      <w:r>
        <w:rPr>
          <w:rFonts w:ascii="Times New Roman" w:eastAsia="MS Mincho" w:hAnsi="Times New Roman"/>
          <w:sz w:val="20"/>
          <w:b/>
          <w:iCs/>
        </w:rPr>
        <w:t>Priedų pakeitimai:</w:t>
      </w:r>
    </w:p>
    <w:p/>
    <w:p>
      <w:pPr>
        <w:pStyle w:val="PlainText"/>
        <w:rPr>
          <w:rFonts w:ascii="Times New Roman" w:eastAsia="MS Mincho" w:hAnsi="Times New Roman"/>
          <w:sz w:val="20"/>
          <w:iCs/>
        </w:rPr>
      </w:pPr>
      <w:r>
        <w:rPr>
          <w:rFonts w:ascii="Times New Roman" w:eastAsia="MS Mincho" w:hAnsi="Times New Roman"/>
          <w:sz w:val="20"/>
          <w:iCs/>
        </w:rPr>
        <w:t>Priedas</w:t>
      </w:r>
    </w:p>
    <w:p/>
    <w:p>
      <w:pPr>
        <w:jc w:val="both"/>
        <w:rPr>
          <w:rFonts w:ascii="Times New Roman" w:hAnsi="Times New Roman"/>
          <w:sz w:val="20"/>
          <w:b/>
        </w:rPr>
      </w:pPr>
    </w:p>
    <w:p>
      <w:pPr>
        <w:jc w:val="both"/>
        <w:rPr>
          <w:rFonts w:ascii="Times New Roman" w:hAnsi="Times New Roman"/>
          <w:sz w:val="20"/>
          <w:b/>
        </w:rPr>
      </w:pPr>
    </w:p>
    <w:p>
      <w:pPr>
        <w:jc w:val="both"/>
        <w:rPr>
          <w:rFonts w:ascii="Times New Roman" w:hAnsi="Times New Roman"/>
          <w:b/>
        </w:rPr>
      </w:pPr>
      <w:r>
        <w:rPr>
          <w:rFonts w:ascii="Times New Roman" w:hAnsi="Times New Roman"/>
          <w:sz w:val="20"/>
          <w:b/>
        </w:rPr>
        <w:t>Pakeitimai:</w:t>
      </w:r>
    </w:p>
    <w:p>
      <w:pPr>
        <w:jc w:val="both"/>
        <w:rPr>
          <w:rFonts w:ascii="Times New Roman" w:hAnsi="Times New Roman"/>
          <w:sz w:val="20"/>
        </w:rPr>
      </w:pPr>
    </w:p>
    <w:p>
      <w:pPr>
        <w:jc w:val="both"/>
        <w:rPr>
          <w:rFonts w:ascii="Times New Roman" w:hAnsi="Times New Roman"/>
        </w:rPr>
      </w:pPr>
      <w:r>
        <w:rPr>
          <w:rFonts w:ascii="Times New Roman" w:hAnsi="Times New Roman"/>
          <w:sz w:val="20"/>
        </w:rPr>
        <w:t>1.</w:t>
      </w:r>
    </w:p>
    <w:p>
      <w:pPr>
        <w:jc w:val="both"/>
        <w:rPr>
          <w:rFonts w:ascii="Times New Roman" w:hAnsi="Times New Roman"/>
        </w:rPr>
      </w:pPr>
      <w:r>
        <w:rPr>
          <w:rFonts w:ascii="Times New Roman" w:hAnsi="Times New Roman"/>
          <w:sz w:val="20"/>
        </w:rPr>
        <w:t>
                    Visagino savivaldybės taryba, Sprendimas
                </w:t>
      </w:r>
    </w:p>
    <w:p>
      <w:pPr>
        <w:jc w:val="both"/>
        <w:rPr>
          <w:rFonts w:ascii="Times New Roman" w:hAnsi="Times New Roman"/>
        </w:rPr>
      </w:pPr>
      <w:r>
        <w:rPr>
          <w:rFonts w:ascii="Times New Roman" w:hAnsi="Times New Roman"/>
          <w:sz w:val="20"/>
        </w:rPr>
        <w:t xml:space="preserve">Nr. </w:t>
      </w:r>
      <w:fldSimple w:instr="HYPERLINK https://www.e-tar.lt/portal/legalAct.html?documentId=2b1fc3b14ff111f0b070ee7f1ceefc75">
        <w:r w:rsidRPr="00532B9F">
          <w:rPr>
            <w:rFonts w:ascii="Times New Roman" w:eastAsia="MS Mincho" w:hAnsi="Times New Roman"/>
            <w:sz w:val="20"/>
            <w:iCs/>
            <w:color w:val="0000FF" w:themeColor="hyperlink"/>
            <w:u w:val="single"/>
          </w:rPr>
          <w:t>TS-94</w:t>
        </w:r>
      </w:fldSimple>
      <w:r>
        <w:rPr>
          <w:rFonts w:ascii="Times New Roman" w:eastAsia="MS Mincho" w:hAnsi="Times New Roman"/>
          <w:sz w:val="20"/>
          <w:iCs/>
        </w:rPr>
        <w:t>,
2025-06-19,
paskelbta TAR 2025-06-23, i. k. 2025-11322                </w:t>
      </w:r>
    </w:p>
    <w:p>
      <w:pPr>
        <w:jc w:val="both"/>
        <w:rPr>
          <w:rFonts w:ascii="Times New Roman" w:hAnsi="Times New Roman"/>
        </w:rPr>
      </w:pPr>
      <w:r>
        <w:rPr>
          <w:rFonts w:ascii="Times New Roman" w:hAnsi="Times New Roman"/>
          <w:sz w:val="20"/>
        </w:rPr>
        <w:t>Dėl Visagino savivaldybės tarybos 2019 m. gruodžio 19 d. sprendimo Nr. TS-279 „Dėl Žmogaus palaikų gabenimo, saugojimo ir nenustatytos tapatybės žmogaus palaikų laidojimo organizavimo Visagino savivaldybėje tvarkos aprašo patvirtinimo“ pakeitimo</w:t>
      </w:r>
    </w:p>
    <w:p>
      <w:pPr>
        <w:jc w:val="both"/>
        <w:rPr>
          <w:rFonts w:ascii="Times New Roman" w:hAnsi="Times New Roman"/>
          <w:sz w:val="20"/>
        </w:rPr>
      </w:pPr>
    </w:p>
    <w:p>
      <w:pPr>
        <w:widowControl w:val="0"/>
        <w:rPr>
          <w:rFonts w:ascii="Times New Roman" w:hAnsi="Times New Roman"/>
          <w:snapToGrid w:val="0"/>
        </w:rPr>
      </w:pPr>
    </w:p>
    <w:sectPr>
      <w:pgSz w:w="11906" w:h="16838"/>
      <w:pgMar w:top="1701" w:right="567" w:bottom="1134" w:left="1701" w:header="567" w:footer="567" w:gutter="0"/>
      <w:pgNumType w:start="1"/>
      <w:cols w:space="1296"/>
      <w:titlePg/>
      <w:docGrid w:linePitch="360"/>
    </w:sectPr>
  </w:body>
</w:document>
</file>

<file path=word/endnotes.xml><?xml version="1.0" encoding="utf-8"?>
<w:end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endnote w:type="separator" w:id="-1">
    <w:p>
      <w:pPr>
        <w:jc w:val="center"/>
        <w:rPr>
          <w:lang w:val="en-GB"/>
        </w:rPr>
      </w:pPr>
      <w:r>
        <w:rPr>
          <w:lang w:val="en-GB"/>
        </w:rPr>
        <w:separator/>
      </w:r>
    </w:p>
  </w:endnote>
  <w:endnote w:type="continuationSeparator" w:id="0">
    <w:p>
      <w:pPr>
        <w:jc w:val="center"/>
        <w:rPr>
          <w:lang w:val="en-GB"/>
        </w:rPr>
      </w:pPr>
      <w:r>
        <w:rPr>
          <w:lang w:val="en-GB"/>
        </w:rPr>
        <w:continuationSeparator/>
      </w:r>
    </w:p>
  </w:endnote>
</w:endnotes>
</file>

<file path=word/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rPr>
        <w:lang w:val="en-GB"/>
      </w:rPr>
    </w:pPr>
  </w:p>
</w:ftr>
</file>

<file path=word/footer2.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rPr>
        <w:lang w:val="en-GB"/>
      </w:rPr>
    </w:pPr>
  </w:p>
</w:ftr>
</file>

<file path=word/footer3.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rPr>
        <w:lang w:val="en-GB"/>
      </w:rPr>
    </w:pPr>
  </w:p>
</w:ftr>
</file>

<file path=word/footer4.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rPr>
        <w:lang w:val="en-GB"/>
      </w:rPr>
    </w:pPr>
  </w:p>
</w:ftr>
</file>

<file path=word/footer5.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rPr>
        <w:lang w:val="en-GB"/>
      </w:rPr>
    </w:pPr>
  </w:p>
</w:ftr>
</file>

<file path=word/footer6.xml><?xml version="1.0" encoding="utf-8"?>
<w:ft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819"/>
        <w:tab w:val="right" w:pos="9638"/>
      </w:tabs>
      <w:jc w:val="center"/>
      <w:rPr>
        <w:lang w:val="en-GB"/>
      </w:rPr>
    </w:pPr>
  </w:p>
</w:ftr>
</file>

<file path=word/footnotes.xml><?xml version="1.0" encoding="utf-8"?>
<w:footnot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footnote w:type="separator" w:id="-1">
    <w:p>
      <w:pPr>
        <w:jc w:val="center"/>
        <w:rPr>
          <w:lang w:val="en-GB"/>
        </w:rPr>
      </w:pPr>
      <w:r>
        <w:rPr>
          <w:lang w:val="en-GB"/>
        </w:rPr>
        <w:separator/>
      </w:r>
    </w:p>
  </w:footnote>
  <w:footnote w:type="continuationSeparator" w:id="0">
    <w:p>
      <w:pPr>
        <w:jc w:val="center"/>
        <w:rPr>
          <w:lang w:val="en-GB"/>
        </w:rPr>
      </w:pPr>
      <w:r>
        <w:rPr>
          <w:lang w:val="en-GB"/>
        </w:rPr>
        <w:continuationSeparator/>
      </w:r>
    </w:p>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end"/>
    </w:r>
  </w:p>
  <w:p>
    <w:pPr>
      <w:tabs>
        <w:tab w:val="center" w:pos="4819"/>
        <w:tab w:val="right" w:pos="9638"/>
      </w:tabs>
      <w:jc w:val="center"/>
      <w:rPr>
        <w:lang w:val="en-GB"/>
      </w:rP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separate"/>
    </w:r>
    <w:r>
      <w:rPr>
        <w:lang w:val="en-GB"/>
      </w:rPr>
      <w:t>4</w:t>
    </w:r>
    <w:r>
      <w:rPr>
        <w:lang w:val="en-GB"/>
      </w:rPr>
      <w:fldChar w:fldCharType="end"/>
    </w:r>
  </w:p>
  <w:p>
    <w:pPr>
      <w:tabs>
        <w:tab w:val="center" w:pos="4819"/>
        <w:tab w:val="right" w:pos="9638"/>
      </w:tabs>
      <w:jc w:val="center"/>
      <w:rPr>
        <w:lang w:val="en-GB"/>
      </w:rPr>
    </w:pPr>
  </w:p>
</w:hdr>
</file>

<file path=word/header3.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header4.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end"/>
    </w:r>
  </w:p>
  <w:p>
    <w:pPr>
      <w:tabs>
        <w:tab w:val="center" w:pos="4819"/>
        <w:tab w:val="right" w:pos="9638"/>
      </w:tabs>
      <w:jc w:val="center"/>
      <w:rPr>
        <w:lang w:val="en-GB"/>
      </w:rPr>
    </w:pPr>
  </w:p>
</w:hdr>
</file>

<file path=word/header5.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framePr w:wrap="auto" w:vAnchor="text" w:hAnchor="margin" w:xAlign="center" w:y="1"/>
      <w:tabs>
        <w:tab w:val="center" w:pos="4819"/>
        <w:tab w:val="right" w:pos="9638"/>
      </w:tabs>
      <w:jc w:val="center"/>
      <w:rPr>
        <w:lang w:val="en-GB"/>
      </w:rPr>
    </w:pPr>
    <w:r>
      <w:rPr>
        <w:lang w:val="en-GB"/>
      </w:rPr>
      <w:fldChar w:fldCharType="begin"/>
    </w:r>
    <w:r>
      <w:rPr>
        <w:lang w:val="en-GB"/>
      </w:rPr>
      <w:instrText xml:space="preserve">PAGE  </w:instrText>
    </w:r>
    <w:r>
      <w:rPr>
        <w:lang w:val="en-GB"/>
      </w:rPr>
      <w:fldChar w:fldCharType="separate"/>
    </w:r>
    <w:r>
      <w:rPr>
        <w:lang w:val="en-GB"/>
      </w:rPr>
      <w:t>2</w:t>
    </w:r>
    <w:r>
      <w:rPr>
        <w:lang w:val="en-GB"/>
      </w:rPr>
      <w:fldChar w:fldCharType="end"/>
    </w:r>
  </w:p>
  <w:p>
    <w:pPr>
      <w:tabs>
        <w:tab w:val="center" w:pos="4819"/>
        <w:tab w:val="right" w:pos="9638"/>
      </w:tabs>
      <w:jc w:val="center"/>
      <w:rPr>
        <w:lang w:val="en-GB"/>
      </w:rPr>
    </w:pPr>
  </w:p>
</w:hdr>
</file>

<file path=word/header6.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p>
    <w:pPr>
      <w:tabs>
        <w:tab w:val="center" w:pos="4986"/>
        <w:tab w:val="right" w:pos="9972"/>
      </w:tabs>
    </w:pPr>
  </w:p>
</w:hdr>
</file>

<file path=word/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zoom w:val="bestFit"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04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C4EF08"/>
  <w15:docId w15:val="{2E6CE8D3-422E-4D16-94B2-997AF0269E8D}"/>
</w:settings>
</file>

<file path=word/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ivs>
    <w:div w:id="824472783">
      <w:bodyDiv w:val="1"/>
      <w:marLeft w:val="0"/>
      <w:marRight w:val="0"/>
      <w:marTop w:val="0"/>
      <w:marBottom w:val="0"/>
      <w:divBdr>
        <w:top w:val="none" w:sz="0" w:space="0" w:color="auto"/>
        <w:left w:val="none" w:sz="0" w:space="0" w:color="auto"/>
        <w:bottom w:val="none" w:sz="0" w:space="0" w:color="auto"/>
        <w:right w:val="none" w:sz="0" w:space="0" w:color="auto"/>
      </w:divBdr>
    </w:div>
    <w:div w:id="89027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customXml" Target="../customXml/item3.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2" Type="http://schemas.openxmlformats.org/officeDocument/2006/relationships/endnotes" Target="endnotes.xml"/>
  <Relationship Id="rId3" Type="http://schemas.openxmlformats.org/officeDocument/2006/relationships/fontTable" Target="fontTable.xml"/>
  <Relationship Id="rId4" Type="http://schemas.openxmlformats.org/officeDocument/2006/relationships/footnotes" Target="footnotes.xml"/>
  <Relationship Id="rId5" Type="http://schemas.openxmlformats.org/officeDocument/2006/relationships/settings" Target="settings.xml"/>
  <Relationship Id="rId6" Type="http://schemas.openxmlformats.org/officeDocument/2006/relationships/styles" Target="styles.xml"/>
  <Relationship Id="rId7" Type="http://schemas.openxmlformats.org/officeDocument/2006/relationships/theme" Target="theme/theme1.xml"/>
  <Relationship Id="rId8" Type="http://schemas.openxmlformats.org/officeDocument/2006/relationships/webSettings" Target="webSettings.xml"/>
  <Relationship Id="rId9" Type="http://schemas.openxmlformats.org/officeDocument/2006/relationships/image" Target="media/image1.png"/>
</Relationships>

</file>

<file path=word/glossary/_rels/document.xml.rels><?xml version="1.0" encoding="UTF-8"?>

<Relationships xmlns="http://schemas.openxmlformats.org/package/2006/relationships">
  <Relationship Id="rId1" Type="http://schemas.openxmlformats.org/officeDocument/2006/relationships/fontTable" Target="fontTable.xml"/>
  <Relationship Id="rId2" Type="http://schemas.openxmlformats.org/officeDocument/2006/relationships/settings" Target="settings.xml"/>
  <Relationship Id="rId3" Type="http://schemas.openxmlformats.org/officeDocument/2006/relationships/styles" Target="styles.xml"/>
  <Relationship Id="rId4" Type="http://schemas.openxmlformats.org/officeDocument/2006/relationships/webSettings" Target="webSettings.xml"/>
</Relationships>

</file>

<file path=word/glossary/document.xml><?xml version="1.0" encoding="utf-8"?>
<w:glossaryDocument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p14">
  <w:docParts>
    <w:docPart>
      <w:docPartPr>
        <w:name w:val="DefaultPlaceholder_1082065158"/>
        <w:category>
          <w:name w:val="Bendrosios nuostatos"/>
          <w:gallery w:val="placeholder"/>
        </w:category>
        <w:types>
          <w:type w:val="bbPlcHdr"/>
        </w:types>
        <w:behaviors>
          <w:behavior w:val="content"/>
        </w:behaviors>
        <w:guid w:val="{0AB282EE-89DB-4562-B58C-86454E5F5424}"/>
      </w:docPartPr>
      <w:docPartBody>
        <w:p>
          <w:r>
            <w:rPr>
              <w:rStyle w:val="Vietosrezervavimoenklotekstas"/>
            </w:rPr>
            <w:t>Spustelėkite čia, jei norite įvesti tekstą.</w:t>
          </w:r>
        </w:p>
      </w:docPartBody>
    </w:docPart>
  </w:docParts>
</w:glossaryDocument>
</file>

<file path=word/glossary/fontTable.xml><?xml version="1.0" encoding="utf-8"?>
<w:font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glossary/settings.xml><?xml version="1.0" encoding="utf-8"?>
<w: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view w:val="normal"/>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F43"/>
    <w:rsid w:val="00D00AB8"/>
    <w:rsid w:val="00E23F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E23F43"/>
    <w:rPr>
      <w:color w:val="808080"/>
    </w:rPr>
  </w:style>
</w:styles>
</file>

<file path=word/glossary/webSettings.xml><?xml version="1.0" encoding="utf-8"?>
<w:webSettings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3.xml><?xml version="1.0" encoding="utf-8"?>
<b:Sources xmlns:b="http://schemas.openxmlformats.org/officeDocument/2006/bibliography" SelectedStyle="\APA.XSL" StyleName="APA Fifth Edition"/>
</file>

<file path=customXml/itemProps3.xml><?xml version="1.0" encoding="utf-8"?>
<ds:datastoreItem xmlns:ds="http://schemas.openxmlformats.org/officeDocument/2006/customXml" ds:itemID="{10DF757A-86A9-48C8-9667-31234FFE5123}">
  <ds:schemaRefs>
    <ds:schemaRef ds:uri="http://schemas.openxmlformats.org/officeDocument/2006/bibliography"/>
  </ds:schemaRefs>
</ds:datastoreItem>
</file>

<file path=docProps/app.xml><?xml version="1.0" encoding="utf-8"?>
<Properties xmlns="http://schemas.openxmlformats.org/officeDocument/2006/extended-properties">
  <Template>Normal.dotm</Template>
  <TotalTime>2</TotalTime>
  <Pages>6</Pages>
  <Words>1708</Words>
  <Characters>13045</Characters>
  <Application>Microsoft Office Word</Application>
  <DocSecurity>0</DocSecurity>
  <Lines>108</Lines>
  <Paragraphs>29</Paragraphs>
  <ScaleCrop>false</ScaleCrop>
  <HeadingPairs>
    <vt:vector xmlns:vt="http://schemas.openxmlformats.org/officeDocument/2006/docPropsVTypes" size="4" baseType="variant">
      <vt:variant>
        <vt:lpstr>Pavadinimas</vt:lpstr>
      </vt:variant>
      <vt:variant>
        <vt:i4>1</vt:i4>
      </vt:variant>
      <vt:variant>
        <vt:lpstr>Title</vt:lpstr>
      </vt:variant>
      <vt:variant>
        <vt:i4>1</vt:i4>
      </vt:variant>
    </vt:vector>
  </HeadingPairs>
  <TitlesOfParts>
    <vt:vector xmlns:vt="http://schemas.openxmlformats.org/officeDocument/2006/docPropsVTypes" size="2" baseType="lpstr">
      <vt:lpstr/>
      <vt:lpstr/>
    </vt:vector>
  </TitlesOfParts>
  <Company>savivaldybė</Company>
  <LinksUpToDate>false</LinksUpToDate>
  <CharactersWithSpaces>14724</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2019-12-23T08:54:00Z</dcterms:created>
  <dc:creator>Mergaite</dc:creator>
  <lastModifiedBy>GRINKEVIČIŪTĖ Agnė</lastModifiedBy>
  <lastPrinted>2017-06-02T10:34:00Z</lastPrinted>
  <dcterms:modified xsi:type="dcterms:W3CDTF">2025-06-25T12:48:00Z</dcterms:modified>
  <revision>5</revision>
</coreProperties>
</file>