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A20B7F" w14:textId="77777777" w:rsidR="00FD0F80" w:rsidRPr="009E400B" w:rsidRDefault="00FD0F80" w:rsidP="00FD0F80">
      <w:pPr>
        <w:ind w:firstLine="4536"/>
        <w:rPr>
          <w:noProof w:val="0"/>
          <w:sz w:val="22"/>
          <w:szCs w:val="22"/>
          <w:lang w:val="lt-LT"/>
        </w:rPr>
      </w:pPr>
      <w:r w:rsidRPr="009E400B">
        <w:rPr>
          <w:noProof w:val="0"/>
          <w:sz w:val="22"/>
          <w:szCs w:val="22"/>
          <w:lang w:val="lt-LT"/>
        </w:rPr>
        <w:t>Projekto „Alternatyvių investicijų detektorius (AID2)“</w:t>
      </w:r>
    </w:p>
    <w:p w14:paraId="799FCA45" w14:textId="77777777" w:rsidR="00FD0F80" w:rsidRPr="009E400B" w:rsidRDefault="00FD0F80" w:rsidP="00FD0F80">
      <w:pPr>
        <w:ind w:firstLine="4536"/>
        <w:rPr>
          <w:noProof w:val="0"/>
          <w:sz w:val="22"/>
          <w:szCs w:val="22"/>
          <w:lang w:val="lt-LT"/>
        </w:rPr>
      </w:pPr>
      <w:r w:rsidRPr="009E400B">
        <w:rPr>
          <w:noProof w:val="0"/>
          <w:sz w:val="22"/>
          <w:szCs w:val="22"/>
          <w:lang w:val="lt-LT"/>
        </w:rPr>
        <w:t xml:space="preserve">partnerių atrankos Visagino savivaldybėje </w:t>
      </w:r>
      <w:r w:rsidRPr="009E400B">
        <w:rPr>
          <w:noProof w:val="0"/>
          <w:sz w:val="22"/>
          <w:szCs w:val="22"/>
          <w:lang w:val="lt-LT" w:eastAsia="lt-LT"/>
        </w:rPr>
        <w:t>tvarkos aprašo</w:t>
      </w:r>
    </w:p>
    <w:p w14:paraId="021FAFAF" w14:textId="77777777" w:rsidR="00FD0F80" w:rsidRPr="009E400B" w:rsidRDefault="00FD0F80" w:rsidP="00FD0F80">
      <w:pPr>
        <w:ind w:firstLine="4536"/>
        <w:rPr>
          <w:noProof w:val="0"/>
          <w:sz w:val="22"/>
          <w:szCs w:val="22"/>
          <w:lang w:val="lt-LT"/>
        </w:rPr>
      </w:pPr>
      <w:r>
        <w:rPr>
          <w:noProof w:val="0"/>
          <w:sz w:val="22"/>
          <w:szCs w:val="22"/>
          <w:lang w:val="lt-LT" w:eastAsia="lt-LT"/>
        </w:rPr>
        <w:t>2</w:t>
      </w:r>
      <w:r w:rsidRPr="009E400B">
        <w:rPr>
          <w:noProof w:val="0"/>
          <w:sz w:val="22"/>
          <w:szCs w:val="22"/>
          <w:lang w:val="lt-LT" w:eastAsia="lt-LT"/>
        </w:rPr>
        <w:t xml:space="preserve"> priedas</w:t>
      </w:r>
    </w:p>
    <w:p w14:paraId="14A36E5F" w14:textId="77777777" w:rsidR="00FD0F80" w:rsidRDefault="00FD0F80" w:rsidP="00FD0F80">
      <w:pPr>
        <w:rPr>
          <w:noProof w:val="0"/>
          <w:szCs w:val="24"/>
          <w:lang w:val="lt-LT" w:eastAsia="lt-LT"/>
        </w:rPr>
      </w:pPr>
    </w:p>
    <w:p w14:paraId="5CCDE2EB" w14:textId="77777777" w:rsidR="00FD0F80" w:rsidRPr="009E400B" w:rsidRDefault="00FD0F80" w:rsidP="00FD0F80">
      <w:pPr>
        <w:rPr>
          <w:noProof w:val="0"/>
          <w:szCs w:val="24"/>
          <w:lang w:val="lt-LT" w:eastAsia="lt-LT"/>
        </w:rPr>
      </w:pPr>
    </w:p>
    <w:p w14:paraId="618728E3" w14:textId="77777777" w:rsidR="00FD0F80" w:rsidRPr="00BB571F" w:rsidRDefault="00FD0F80" w:rsidP="00FD0F80">
      <w:pPr>
        <w:jc w:val="center"/>
        <w:rPr>
          <w:b/>
          <w:bCs/>
          <w:noProof w:val="0"/>
          <w:szCs w:val="24"/>
          <w:lang w:val="lt-LT" w:eastAsia="lt-LT"/>
        </w:rPr>
      </w:pPr>
      <w:r w:rsidRPr="00BB571F">
        <w:rPr>
          <w:b/>
          <w:bCs/>
          <w:noProof w:val="0"/>
          <w:szCs w:val="24"/>
          <w:lang w:val="lt-LT" w:eastAsia="lt-LT"/>
        </w:rPr>
        <w:t>(Pareiškėjo atitikties deklaracijos forma)</w:t>
      </w:r>
    </w:p>
    <w:p w14:paraId="19386C4D" w14:textId="77777777" w:rsidR="00FD0F80" w:rsidRDefault="00FD0F80" w:rsidP="00FD0F80">
      <w:pPr>
        <w:rPr>
          <w:bCs/>
          <w:noProof w:val="0"/>
          <w:color w:val="000000"/>
          <w:szCs w:val="24"/>
          <w:lang w:val="lt-LT" w:eastAsia="lt-LT"/>
        </w:rPr>
      </w:pPr>
    </w:p>
    <w:p w14:paraId="249F85AA" w14:textId="77777777" w:rsidR="00FD0F80" w:rsidRPr="009E400B" w:rsidRDefault="00FD0F80" w:rsidP="00FD0F80">
      <w:pPr>
        <w:rPr>
          <w:bCs/>
          <w:noProof w:val="0"/>
          <w:color w:val="000000"/>
          <w:szCs w:val="24"/>
          <w:lang w:val="lt-LT" w:eastAsia="lt-LT"/>
        </w:rPr>
      </w:pPr>
    </w:p>
    <w:p w14:paraId="16D78D5F" w14:textId="77777777" w:rsidR="00FD0F80" w:rsidRPr="00BB571F" w:rsidRDefault="00FD0F80" w:rsidP="00FD0F80">
      <w:pPr>
        <w:jc w:val="center"/>
        <w:rPr>
          <w:b/>
          <w:noProof w:val="0"/>
          <w:color w:val="000000"/>
          <w:szCs w:val="24"/>
          <w:lang w:val="lt-LT" w:eastAsia="lt-LT"/>
        </w:rPr>
      </w:pPr>
      <w:r w:rsidRPr="00BB571F">
        <w:rPr>
          <w:b/>
          <w:noProof w:val="0"/>
          <w:color w:val="000000"/>
          <w:szCs w:val="24"/>
          <w:lang w:val="lt-LT" w:eastAsia="lt-LT"/>
        </w:rPr>
        <w:t>PAREIŠKĖJO ATITIKTIES DEKLARACIJA</w:t>
      </w:r>
    </w:p>
    <w:p w14:paraId="66573B58" w14:textId="77777777" w:rsidR="00FD0F80" w:rsidRDefault="00FD0F80" w:rsidP="00FD0F80">
      <w:pPr>
        <w:jc w:val="both"/>
        <w:rPr>
          <w:bCs/>
          <w:noProof w:val="0"/>
          <w:color w:val="000000"/>
          <w:szCs w:val="24"/>
          <w:lang w:val="lt-LT" w:eastAsia="lt-LT"/>
        </w:rPr>
      </w:pPr>
    </w:p>
    <w:p w14:paraId="3B8C83E6" w14:textId="77777777" w:rsidR="00FD0F80" w:rsidRPr="00BB571F" w:rsidRDefault="00FD0F80" w:rsidP="00FD0F80">
      <w:pPr>
        <w:jc w:val="both"/>
        <w:rPr>
          <w:noProof w:val="0"/>
          <w:color w:val="000000"/>
          <w:szCs w:val="24"/>
          <w:lang w:val="lt-LT" w:eastAsia="lt-LT"/>
        </w:rPr>
      </w:pPr>
    </w:p>
    <w:p w14:paraId="18ACDBBC" w14:textId="77777777" w:rsidR="00FD0F80" w:rsidRPr="00BB571F" w:rsidRDefault="00FD0F80" w:rsidP="00FD0F80">
      <w:pPr>
        <w:ind w:firstLine="720"/>
        <w:jc w:val="both"/>
        <w:rPr>
          <w:bCs/>
          <w:noProof w:val="0"/>
          <w:szCs w:val="24"/>
          <w:lang w:val="lt-LT" w:eastAsia="lt-LT"/>
        </w:rPr>
      </w:pPr>
      <w:r w:rsidRPr="00BB571F">
        <w:rPr>
          <w:bCs/>
          <w:noProof w:val="0"/>
          <w:szCs w:val="24"/>
          <w:lang w:val="lt-LT" w:eastAsia="lt-LT"/>
        </w:rPr>
        <w:t>Aš, ____________________________________________________</w:t>
      </w:r>
      <w:r>
        <w:rPr>
          <w:bCs/>
          <w:noProof w:val="0"/>
          <w:szCs w:val="24"/>
          <w:lang w:val="lt-LT" w:eastAsia="lt-LT"/>
        </w:rPr>
        <w:t>______</w:t>
      </w:r>
      <w:r w:rsidRPr="00BB571F">
        <w:rPr>
          <w:bCs/>
          <w:noProof w:val="0"/>
          <w:szCs w:val="24"/>
          <w:lang w:val="lt-LT" w:eastAsia="lt-LT"/>
        </w:rPr>
        <w:t>, patvirtinu, kad</w:t>
      </w:r>
    </w:p>
    <w:p w14:paraId="3A767238" w14:textId="77777777" w:rsidR="00FD0F80" w:rsidRPr="00BB571F" w:rsidRDefault="00FD0F80" w:rsidP="00FD0F80">
      <w:pPr>
        <w:ind w:left="2592" w:firstLine="1296"/>
        <w:jc w:val="both"/>
        <w:rPr>
          <w:bCs/>
          <w:noProof w:val="0"/>
          <w:szCs w:val="24"/>
          <w:lang w:val="lt-LT" w:eastAsia="lt-LT"/>
        </w:rPr>
      </w:pPr>
      <w:r w:rsidRPr="00BB571F">
        <w:rPr>
          <w:bCs/>
          <w:noProof w:val="0"/>
          <w:szCs w:val="24"/>
          <w:lang w:val="lt-LT" w:eastAsia="lt-LT"/>
        </w:rPr>
        <w:t>(vardas ir pavardė)</w:t>
      </w:r>
    </w:p>
    <w:p w14:paraId="6D08ADA6" w14:textId="77777777" w:rsidR="00FD0F80" w:rsidRPr="00BB571F" w:rsidRDefault="00FD0F80" w:rsidP="00FD0F80">
      <w:pPr>
        <w:jc w:val="both"/>
        <w:rPr>
          <w:bCs/>
          <w:noProof w:val="0"/>
          <w:szCs w:val="24"/>
          <w:lang w:val="lt-LT" w:eastAsia="lt-LT"/>
        </w:rPr>
      </w:pPr>
      <w:r w:rsidRPr="00BB571F">
        <w:rPr>
          <w:bCs/>
          <w:noProof w:val="0"/>
          <w:szCs w:val="24"/>
          <w:lang w:val="lt-LT" w:eastAsia="lt-LT"/>
        </w:rPr>
        <w:t xml:space="preserve">mano atstovaujamas juridinis asmuo (toliau – pareiškėjas) atitinka </w:t>
      </w:r>
      <w:r w:rsidRPr="00BB571F">
        <w:rPr>
          <w:noProof w:val="0"/>
          <w:szCs w:val="24"/>
          <w:lang w:val="lt-LT" w:eastAsia="lt-LT"/>
        </w:rPr>
        <w:t xml:space="preserve">projekto partneriams keliamus reikalavimus*, nustatytus Projektų administravimo ir finansavimo taisyklių 2 priede, </w:t>
      </w:r>
      <w:r w:rsidRPr="00BB571F">
        <w:rPr>
          <w:bCs/>
          <w:noProof w:val="0"/>
          <w:szCs w:val="24"/>
          <w:lang w:val="lt-LT" w:eastAsia="lt-LT"/>
        </w:rPr>
        <w:t>t. y. pareiškėjui nėra apribojimų gauti finansavimą:</w:t>
      </w:r>
    </w:p>
    <w:p w14:paraId="00FABB4F" w14:textId="77777777" w:rsidR="00FD0F80" w:rsidRPr="00BB571F" w:rsidRDefault="00FD0F80" w:rsidP="00FD0F80">
      <w:pPr>
        <w:ind w:firstLine="720"/>
        <w:jc w:val="both"/>
        <w:rPr>
          <w:bCs/>
          <w:noProof w:val="0"/>
          <w:szCs w:val="24"/>
          <w:lang w:val="lt-LT" w:eastAsia="lt-LT"/>
        </w:rPr>
      </w:pPr>
      <w:r w:rsidRPr="00BB571F">
        <w:rPr>
          <w:bCs/>
          <w:noProof w:val="0"/>
          <w:szCs w:val="24"/>
          <w:lang w:val="lt-LT" w:eastAsia="lt-LT"/>
        </w:rPr>
        <w:t xml:space="preserve">1. Pareiškėjui nėra iškelta byla dėl bankroto arba jis (jie) nėra likviduojamas (-i), nėra priimtas kreditorių susirinkimo nutarimas bankroto procedūras vykdyti ne teismo tvarka </w:t>
      </w:r>
      <w:r w:rsidRPr="00BB571F">
        <w:rPr>
          <w:bCs/>
          <w:i/>
          <w:iCs/>
          <w:noProof w:val="0"/>
          <w:szCs w:val="24"/>
          <w:lang w:val="lt-LT" w:eastAsia="lt-LT"/>
        </w:rPr>
        <w:t>(ši nuostata netaikoma biudžetinėms įstaigoms)</w:t>
      </w:r>
      <w:r w:rsidRPr="00BB571F">
        <w:rPr>
          <w:bCs/>
          <w:noProof w:val="0"/>
          <w:szCs w:val="24"/>
          <w:lang w:val="lt-LT" w:eastAsia="lt-LT"/>
        </w:rPr>
        <w:t>. Pareiškėjui, t. y. vadovui, naudos gavėjui, kaip jis apibrėžtas Lietuvos Respublikos pinigų plovimo ir teroristų finansavimo prevencijos įstatymo 2 straipsnio 14</w:t>
      </w:r>
      <w:r>
        <w:rPr>
          <w:bCs/>
          <w:noProof w:val="0"/>
          <w:szCs w:val="24"/>
          <w:lang w:val="lt-LT" w:eastAsia="lt-LT"/>
        </w:rPr>
        <w:t>  </w:t>
      </w:r>
      <w:r w:rsidRPr="00BB571F">
        <w:rPr>
          <w:bCs/>
          <w:noProof w:val="0"/>
          <w:szCs w:val="24"/>
          <w:lang w:val="lt-LT" w:eastAsia="lt-LT"/>
        </w:rPr>
        <w:t>dalyje (toliau – naudos gavėjas), ar savininkui, ūkinės bendrijos tikrajam nariui (-</w:t>
      </w:r>
      <w:proofErr w:type="spellStart"/>
      <w:r w:rsidRPr="00BB571F">
        <w:rPr>
          <w:bCs/>
          <w:noProof w:val="0"/>
          <w:szCs w:val="24"/>
          <w:lang w:val="lt-LT" w:eastAsia="lt-LT"/>
        </w:rPr>
        <w:t>iams</w:t>
      </w:r>
      <w:proofErr w:type="spellEnd"/>
      <w:r w:rsidRPr="00BB571F">
        <w:rPr>
          <w:bCs/>
          <w:noProof w:val="0"/>
          <w:szCs w:val="24"/>
          <w:lang w:val="lt-LT" w:eastAsia="lt-LT"/>
        </w:rPr>
        <w:t>) ar mažosios bendrijos atstovui (-</w:t>
      </w:r>
      <w:proofErr w:type="spellStart"/>
      <w:r w:rsidRPr="00BB571F">
        <w:rPr>
          <w:bCs/>
          <w:noProof w:val="0"/>
          <w:szCs w:val="24"/>
          <w:lang w:val="lt-LT" w:eastAsia="lt-LT"/>
        </w:rPr>
        <w:t>ams</w:t>
      </w:r>
      <w:proofErr w:type="spellEnd"/>
      <w:r w:rsidRPr="00BB571F">
        <w:rPr>
          <w:bCs/>
          <w:noProof w:val="0"/>
          <w:szCs w:val="24"/>
          <w:lang w:val="lt-LT" w:eastAsia="lt-LT"/>
        </w:rPr>
        <w:t>), turinčiam (-</w:t>
      </w:r>
      <w:proofErr w:type="spellStart"/>
      <w:r w:rsidRPr="00BB571F">
        <w:rPr>
          <w:bCs/>
          <w:noProof w:val="0"/>
          <w:szCs w:val="24"/>
          <w:lang w:val="lt-LT" w:eastAsia="lt-LT"/>
        </w:rPr>
        <w:t>iems</w:t>
      </w:r>
      <w:proofErr w:type="spellEnd"/>
      <w:r w:rsidRPr="00BB571F">
        <w:rPr>
          <w:bCs/>
          <w:noProof w:val="0"/>
          <w:szCs w:val="24"/>
          <w:lang w:val="lt-LT" w:eastAsia="lt-LT"/>
        </w:rPr>
        <w:t>) teisę juridinio asmens vardu sudaryti sandorį, ar finansinę apskaitą (toliau – apskaita) tvarkančiam asmeniui (asmenims), ar kitam (kitiems) asmeniui (asmenims), turinčiam (-tiems) teisę surašyti ir pasirašyti pareiškėjo apskaitos dokumentus, arba jungtinio projekto pareiškėjui, kuris yra fizinis asmuo, nėra pradėtas ikiteisminis tyrimas dėl sukčiavimo, turto pasisavinimo, turto iššvaistymo, nusikalstamu būdu gauto turto įgijimo arba realizavimo, neteisėto praturtėjimo, neteisėto vertimosi ūkine, komercine, finansine ar profesine veikla, neteisėtos juridinio asmens veiklos, kredito, paskolos, tikslinės paramos, subsidijos ar dotacijos panaudojimo ne pagal paskirtį ar nustatytą tvarką, kreditinio sukčiavimo, nusikalstamo bankroto, nusikalstamu būdu gauto turto legalizavimo, prekybos finansinėmis priemonėmis pasinaudojant viešai neatskleista informacija, manipuliavimo finansinių priemonių rinka, neteisingų duomenų apie pajamas, pelną ar turtą pateikimo, deklaracijos, ataskaitos ar kito dokumento nepateikimo, apgaulingo ar aplaidaus apskaitos tvarkymo ir (arba) organizavimo, kyšininkavimo, prekybos poveikiu, papirkimo, piktnaudžiavimo, tarnybos pareigų neatlikimo. Jungtinio projekto pareiškėjui, kuris yra fizinis asmuo, nėra iškelta byla dėl bankroto.</w:t>
      </w:r>
    </w:p>
    <w:p w14:paraId="2DF07EDF" w14:textId="77777777" w:rsidR="00FD0F80" w:rsidRPr="00BB571F" w:rsidRDefault="00FD0F80" w:rsidP="00FD0F80">
      <w:pPr>
        <w:ind w:firstLine="720"/>
        <w:jc w:val="both"/>
        <w:rPr>
          <w:bCs/>
          <w:noProof w:val="0"/>
          <w:szCs w:val="24"/>
          <w:lang w:val="lt-LT" w:eastAsia="lt-LT"/>
        </w:rPr>
      </w:pPr>
      <w:r w:rsidRPr="00BB571F">
        <w:rPr>
          <w:bCs/>
          <w:noProof w:val="0"/>
          <w:szCs w:val="24"/>
          <w:lang w:val="lt-LT" w:eastAsia="lt-LT"/>
        </w:rPr>
        <w:t>2. Pareiškėjas galutiniu teismo sprendimu ar galutiniu administraciniu sprendimu nėra pripažintas nevykdančiu pareigų, susijusių su mokesčių ar socialinio draudimo įmokų mokėjimu pagal Lietuvos Respublikos teisės aktus arba pagal kitos valstybės teisės aktus, jei pareiškėjas yra užsienyje registruotas juridinis asmuo arba jungtinio projekto pareiškėjas – fizinis asmuo, deklaravęs gyvenamąją vietą užsienyje (</w:t>
      </w:r>
      <w:r w:rsidRPr="00BB571F">
        <w:rPr>
          <w:bCs/>
          <w:i/>
          <w:noProof w:val="0"/>
          <w:szCs w:val="24"/>
          <w:lang w:val="lt-LT" w:eastAsia="lt-LT"/>
        </w:rPr>
        <w:t>netaikoma biudžetinėms įstaigoms, pareiškėjams, kuriems Lietuvos Respublikos teisės aktų nustatyta tvarka yra atidėti mokesčių arba socialinio draudimo įmokų mokėjimo terminai)</w:t>
      </w:r>
      <w:r w:rsidRPr="00BB571F">
        <w:rPr>
          <w:bCs/>
          <w:noProof w:val="0"/>
          <w:szCs w:val="24"/>
          <w:lang w:val="lt-LT" w:eastAsia="lt-LT"/>
        </w:rPr>
        <w:t>.</w:t>
      </w:r>
    </w:p>
    <w:p w14:paraId="7E3FFB30" w14:textId="77777777" w:rsidR="00FD0F80" w:rsidRPr="00BB571F" w:rsidRDefault="00FD0F80" w:rsidP="00FD0F80">
      <w:pPr>
        <w:ind w:firstLine="720"/>
        <w:jc w:val="both"/>
        <w:rPr>
          <w:bCs/>
          <w:noProof w:val="0"/>
          <w:szCs w:val="24"/>
          <w:lang w:val="lt-LT" w:eastAsia="lt-LT"/>
        </w:rPr>
      </w:pPr>
      <w:r w:rsidRPr="00BB571F">
        <w:rPr>
          <w:bCs/>
          <w:noProof w:val="0"/>
          <w:szCs w:val="24"/>
          <w:lang w:val="lt-LT" w:eastAsia="lt-LT"/>
        </w:rPr>
        <w:t>3. Pareiškėjas neturi neišnykusio arba nepanaikinto teistumo arba dėl pareiškėjo per pastaruosius 5 metus nebuvo priimtas ir įsiteisėjęs apkaltinamasis teismo nuosprendis dėl neteisėtos veiklos, kenkiančios Lietuvos Respublikos ir (arba) Europos Sąjungos finansiniams interesams, t. y. pareiškėjo vadovas, naudos gavėjas ar savininkas, ūkinės bendrijos tikrasis narys (-</w:t>
      </w:r>
      <w:proofErr w:type="spellStart"/>
      <w:r w:rsidRPr="00BB571F">
        <w:rPr>
          <w:bCs/>
          <w:noProof w:val="0"/>
          <w:szCs w:val="24"/>
          <w:lang w:val="lt-LT" w:eastAsia="lt-LT"/>
        </w:rPr>
        <w:t>iai</w:t>
      </w:r>
      <w:proofErr w:type="spellEnd"/>
      <w:r w:rsidRPr="00BB571F">
        <w:rPr>
          <w:bCs/>
          <w:noProof w:val="0"/>
          <w:szCs w:val="24"/>
          <w:lang w:val="lt-LT" w:eastAsia="lt-LT"/>
        </w:rPr>
        <w:t xml:space="preserve">) ar mažosios bendrijos atstovas (-ai), turintis (- </w:t>
      </w:r>
      <w:proofErr w:type="spellStart"/>
      <w:r w:rsidRPr="00BB571F">
        <w:rPr>
          <w:bCs/>
          <w:noProof w:val="0"/>
          <w:szCs w:val="24"/>
          <w:lang w:val="lt-LT" w:eastAsia="lt-LT"/>
        </w:rPr>
        <w:t>ys</w:t>
      </w:r>
      <w:proofErr w:type="spellEnd"/>
      <w:r w:rsidRPr="00BB571F">
        <w:rPr>
          <w:bCs/>
          <w:noProof w:val="0"/>
          <w:szCs w:val="24"/>
          <w:lang w:val="lt-LT" w:eastAsia="lt-LT"/>
        </w:rPr>
        <w:t>) teisę juridinio asmens vardu sudaryti sandorį, ar apskaitą tvarkantis asmuo (asmenys), ar kitas (kiti) asmuo (asmenys), turintis (-</w:t>
      </w:r>
      <w:proofErr w:type="spellStart"/>
      <w:r w:rsidRPr="00BB571F">
        <w:rPr>
          <w:bCs/>
          <w:noProof w:val="0"/>
          <w:szCs w:val="24"/>
          <w:lang w:val="lt-LT" w:eastAsia="lt-LT"/>
        </w:rPr>
        <w:t>ys</w:t>
      </w:r>
      <w:proofErr w:type="spellEnd"/>
      <w:r w:rsidRPr="00BB571F">
        <w:rPr>
          <w:bCs/>
          <w:noProof w:val="0"/>
          <w:szCs w:val="24"/>
          <w:lang w:val="lt-LT" w:eastAsia="lt-LT"/>
        </w:rPr>
        <w:t xml:space="preserve">) teisę surašyti ir pasirašyti pareiškėjo apskaitos dokumentus, neturi neišnykusio arba nepanaikinto teistumo arba dėl pareiškėjo per pastaruosius 5 metus nebuvo priimtas ir įsiteisėjęs apkaltinamasis teismo nuosprendis už dalyvavimą bendrininkų grupėje, organizuotoje grupėje, nusikalstamame susivienijime, jų organizavimą ar vadovavimą jiems, teroristinius ir su teroristine veikla susijusius nusikaltimus ar teroristų finansavimą, vaikų darbą ar kitas su prekyba žmonėmis susijusias nusikalstamas veikas, </w:t>
      </w:r>
      <w:r w:rsidRPr="00BB571F">
        <w:rPr>
          <w:bCs/>
          <w:noProof w:val="0"/>
          <w:szCs w:val="24"/>
          <w:lang w:val="lt-LT" w:eastAsia="lt-LT"/>
        </w:rPr>
        <w:lastRenderedPageBreak/>
        <w:t xml:space="preserve">kyšininkavimą, prekybą poveikiu, papirkimą, piktnaudžiavimą, tarnybos pareigų neatlikimą, sukčiavimą, turto pasisavinimą, turto iššvaistymą, turto sunaikinimą ar sugadinimą, neteisėtą praturtėjimą, kontrabandą, muitinės apgaulę, neteisėtą disponavimą akcizais apmokestinamomis prekėmis, neteisėtą prekių ar produkcijos neišvežimą iš Lietuvos Respublikos, neteisėtą vertimąsi ūkine, komercine, finansine ar profesine veikla, neteisėtą juridinio asmens veiklą, svetimo prekių ar paslaugų ženklo naudojimą, apgaulingą pareiškimą apie juridinio asmens veiklą, mokesčių nesumokėjimą, kredito, paskolos, tikslinės paramos, subsidijos ar dotacijos panaudojimą ne pagal paskirtį ar nustatytą tvarką, kreditinį sukčiavimą, skolininko nesąžiningumą, nusikalstamą bankrotą, netikros elektroninės mokėjimo priemonės gaminimą, tikros elektroninės mokėjimo priemonės klastojimą ar neteisėtą disponavimą elektronine mokėjimo priemone arba jos duomenimis, neteisėtą elektroninės mokėjimo priemonės ar jos duomenų panaudojimą, neteisingų duomenų apie pajamas, pelną ar turtą pateikimą, deklaracijos, ataskaitos ar kito dokumento nepateikimą, apgaulingą ar aplaidų apskaitos tvarkymą ir (arba) organizavimą, nusikalstamu būdu gauto turto įgijimą ar realizavimą, nusikalstamu būdu gauto turto legalizavimą, prekybą finansinėmis priemonėmis pasinaudojant viešai neatskleista informacija, manipuliavimą finansinių priemonių rinka, netikrų pinigų ar vertybinių popierių pagaminimą, laikymą ar realizavimą, dokumento suklastojimą ar disponavimą suklastotu dokumentu, antspaudo, spaudo ar blanko suklastojimą, diskriminavimą dėl tautybės, rasės, lyties, kilmės, religijos ar kitos grupinės priklausomybės, kurstymą prieš bet kokios tautos, rasės, etninę, religinę ar kitokią žmonių grupę, grupių ir organizacijų, turinčių tikslą diskriminuoti žmonių grupę arba kurstyti prieš ją, kūrimą ir veiklą, kitas nusikalstamas veikas, kurios buvo įvykdytos siekiant išreikšti neapykantą asmenų grupei ar jai priklausančiam asmeniui dėl amžiaus, lyties, seksualinės orientacijos, negalios, rasės, odos spalvos, tautybės, kalbos, kilmės, etninės kilmės, socialinės padėties, tikėjimo, religijos arba įsitikinimų ar pažiūrų, dalyvavimą kokioje nors kitoje neteisėtoje veikloje, kenkiančioje Lietuvos Respublikos ir (arba) Europos Sąjungos finansiniams interesams, arba nėra subjektas, kuriam taikomos sankcijos, kaip jis apibrėžtas Lietuvos Respublikos tarptautinių sankcijų įstatymo 2 straipsnio 4 dalyje </w:t>
      </w:r>
      <w:r w:rsidRPr="00BB571F">
        <w:rPr>
          <w:bCs/>
          <w:i/>
          <w:iCs/>
          <w:noProof w:val="0"/>
          <w:szCs w:val="24"/>
          <w:lang w:val="lt-LT" w:eastAsia="lt-LT"/>
        </w:rPr>
        <w:t>(netaikoma biudžetinėms įstaigoms ir asmenims, kuriems Lietuvos Respublikos, Europos Sąjungos arba kitos valstybės, išskyrus Rusijos Federaciją ir Baltarusijos Respubliką, teisės aktų nustatyta tvarka taikomas nepriekaištingos reputacijos reikalavimas)</w:t>
      </w:r>
      <w:r w:rsidRPr="00BB571F">
        <w:rPr>
          <w:bCs/>
          <w:noProof w:val="0"/>
          <w:szCs w:val="24"/>
          <w:lang w:val="lt-LT" w:eastAsia="lt-LT"/>
        </w:rPr>
        <w:t>.</w:t>
      </w:r>
    </w:p>
    <w:p w14:paraId="77946565" w14:textId="77777777" w:rsidR="00FD0F80" w:rsidRPr="00BB571F" w:rsidRDefault="00FD0F80" w:rsidP="00FD0F80">
      <w:pPr>
        <w:ind w:firstLine="720"/>
        <w:jc w:val="both"/>
        <w:rPr>
          <w:bCs/>
          <w:noProof w:val="0"/>
          <w:szCs w:val="24"/>
          <w:lang w:val="lt-LT" w:eastAsia="lt-LT"/>
        </w:rPr>
      </w:pPr>
      <w:r w:rsidRPr="00BB571F">
        <w:rPr>
          <w:bCs/>
          <w:noProof w:val="0"/>
          <w:szCs w:val="24"/>
          <w:lang w:val="lt-LT" w:eastAsia="lt-LT"/>
        </w:rPr>
        <w:t xml:space="preserve">4. Pareiškėjo planuojamos veiklos nėra tokios, kurias vykdant per </w:t>
      </w:r>
      <w:r w:rsidRPr="00BB571F">
        <w:rPr>
          <w:noProof w:val="0"/>
          <w:szCs w:val="24"/>
          <w:lang w:val="lt-LT" w:eastAsia="lt-LT"/>
        </w:rPr>
        <w:t>Projektų administravimo ir finansavimo taisyklių 246–247 punktuose nustatytą investicijų tęstinumo laikotarpį būtų nutraukta gamybinė veikla arba ji būtų perkelta už konkretaus Europos socialinio fondo investicijų programos regiono ribų, taip pat už Lietuvos ribų.</w:t>
      </w:r>
    </w:p>
    <w:p w14:paraId="1302CD27" w14:textId="77777777" w:rsidR="00FD0F80" w:rsidRPr="00BB571F" w:rsidRDefault="00FD0F80" w:rsidP="00FD0F80">
      <w:pPr>
        <w:ind w:firstLine="720"/>
        <w:jc w:val="both"/>
        <w:rPr>
          <w:bCs/>
          <w:noProof w:val="0"/>
          <w:szCs w:val="24"/>
          <w:lang w:val="lt-LT" w:eastAsia="lt-LT"/>
        </w:rPr>
      </w:pPr>
      <w:r w:rsidRPr="00BB571F">
        <w:rPr>
          <w:bCs/>
          <w:noProof w:val="0"/>
          <w:szCs w:val="24"/>
          <w:lang w:val="lt-LT" w:eastAsia="lt-LT"/>
        </w:rPr>
        <w:t>5. Pareiškėjo planuojamos veiklos nėra tokios, kurias vykdant būtų pažeisti investicijų tęstinumo reikalavimai ta apimtimi, kokia nustatyta valstybės pagalbos taisyklėse ir projektų finansavimo sąlygų apraše (PFSA), o kai įgyvendinami regiono plėtros plano (</w:t>
      </w:r>
      <w:proofErr w:type="spellStart"/>
      <w:r w:rsidRPr="00BB571F">
        <w:rPr>
          <w:bCs/>
          <w:noProof w:val="0"/>
          <w:szCs w:val="24"/>
          <w:lang w:val="lt-LT" w:eastAsia="lt-LT"/>
        </w:rPr>
        <w:t>RPPl</w:t>
      </w:r>
      <w:proofErr w:type="spellEnd"/>
      <w:r w:rsidRPr="00BB571F">
        <w:rPr>
          <w:bCs/>
          <w:noProof w:val="0"/>
          <w:szCs w:val="24"/>
          <w:lang w:val="lt-LT" w:eastAsia="lt-LT"/>
        </w:rPr>
        <w:t>) projektai – Regioninės pažangos priemonės finansavimo gairėse (Gairės).</w:t>
      </w:r>
    </w:p>
    <w:p w14:paraId="6D851593" w14:textId="77777777" w:rsidR="00FD0F80" w:rsidRPr="009E400B" w:rsidRDefault="00FD0F80" w:rsidP="00FD0F80">
      <w:pPr>
        <w:ind w:firstLine="720"/>
        <w:jc w:val="both"/>
        <w:rPr>
          <w:bCs/>
          <w:noProof w:val="0"/>
          <w:szCs w:val="24"/>
          <w:lang w:val="lt-LT" w:eastAsia="lt-LT"/>
        </w:rPr>
      </w:pPr>
      <w:r w:rsidRPr="009E400B">
        <w:rPr>
          <w:bCs/>
          <w:noProof w:val="0"/>
          <w:szCs w:val="24"/>
          <w:lang w:val="lt-LT" w:eastAsia="lt-LT"/>
        </w:rPr>
        <w:t xml:space="preserve">6. Per 2 metus iki projekto įgyvendinimo plano pateikimo pareiškėjas nėra perkėlęs (kaip apibrėžta 2014 m. birželio 17 d. Komisijos reglamento </w:t>
      </w:r>
      <w:hyperlink r:id="rId4" w:tgtFrame="_blank" w:history="1">
        <w:r w:rsidRPr="009E400B">
          <w:rPr>
            <w:bCs/>
            <w:noProof w:val="0"/>
            <w:szCs w:val="24"/>
            <w:lang w:val="lt-LT" w:eastAsia="lt-LT"/>
          </w:rPr>
          <w:t>(ES) Nr. 651/2014</w:t>
        </w:r>
      </w:hyperlink>
      <w:r w:rsidRPr="009E400B">
        <w:rPr>
          <w:bCs/>
          <w:noProof w:val="0"/>
          <w:szCs w:val="24"/>
          <w:lang w:val="lt-LT" w:eastAsia="lt-LT"/>
        </w:rPr>
        <w:t xml:space="preserve">, kuriuo tam tikrų kategorijų pagalba skelbiama suderinama su vidaus rinka taikant Sutarties 107 ir 108 straipsnius, su visais pakeitimais 2 straipsnio 61a punkte) projekto įgyvendinimo plane nurodytai veiklai tapačios veiklos arba jos dalies ar panašios veiklos iš kitoje Europos ekonominės erdvės valstybėje esančios įmonės į Lietuvos Respublikoje esančią įmonę, kuriai prašoma suteikti finansavimą, o kai pareiškėjui teikiama regioninė investicinė pagalba pagal Reglamento </w:t>
      </w:r>
      <w:hyperlink r:id="rId5" w:tgtFrame="_blank" w:history="1">
        <w:r w:rsidRPr="009E400B">
          <w:rPr>
            <w:bCs/>
            <w:noProof w:val="0"/>
            <w:szCs w:val="24"/>
            <w:lang w:val="lt-LT" w:eastAsia="lt-LT"/>
          </w:rPr>
          <w:t>(ES) Nr. 651/2014</w:t>
        </w:r>
      </w:hyperlink>
      <w:r w:rsidRPr="009E400B">
        <w:rPr>
          <w:bCs/>
          <w:noProof w:val="0"/>
          <w:szCs w:val="24"/>
          <w:lang w:val="lt-LT" w:eastAsia="lt-LT"/>
        </w:rPr>
        <w:t xml:space="preserve"> 14 straipsnį, papildomai įsipareigoja to nedaryti projekto įgyvendinimo metu bei 2 metus po projekto įgyvendinimo pabaigos, kai įgyvendinami jungtinio projekto projektai, – jungtinio projekto įgyvendinimo metu bei 2 metus po jungtinio projekto įgyvendinimo pabaigos, kaip tai nustatyta Reglamento </w:t>
      </w:r>
      <w:hyperlink r:id="rId6" w:tgtFrame="_blank" w:history="1">
        <w:r w:rsidRPr="009E400B">
          <w:rPr>
            <w:bCs/>
            <w:noProof w:val="0"/>
            <w:szCs w:val="24"/>
            <w:lang w:val="lt-LT" w:eastAsia="lt-LT"/>
          </w:rPr>
          <w:t>(ES) Nr. 651/2014</w:t>
        </w:r>
      </w:hyperlink>
      <w:r w:rsidRPr="009E400B">
        <w:rPr>
          <w:bCs/>
          <w:noProof w:val="0"/>
          <w:szCs w:val="24"/>
          <w:lang w:val="lt-LT" w:eastAsia="lt-LT"/>
        </w:rPr>
        <w:t xml:space="preserve"> 14</w:t>
      </w:r>
      <w:r>
        <w:rPr>
          <w:bCs/>
          <w:noProof w:val="0"/>
          <w:szCs w:val="24"/>
          <w:lang w:val="lt-LT" w:eastAsia="lt-LT"/>
        </w:rPr>
        <w:t> </w:t>
      </w:r>
      <w:r w:rsidRPr="009E400B">
        <w:rPr>
          <w:bCs/>
          <w:noProof w:val="0"/>
          <w:szCs w:val="24"/>
          <w:lang w:val="lt-LT" w:eastAsia="lt-LT"/>
        </w:rPr>
        <w:t xml:space="preserve">straipsnio 16 dalyje. Šiame punkte įmonė suprantama kaip ekonominę veiklą vykdantis subjektas, kad ir koks būtų jo teisinis statusas, t. y. taip, kaip ši sąvoka apibrėžta Reglamento </w:t>
      </w:r>
      <w:hyperlink r:id="rId7" w:tgtFrame="_blank" w:history="1">
        <w:r w:rsidRPr="009E400B">
          <w:rPr>
            <w:bCs/>
            <w:noProof w:val="0"/>
            <w:szCs w:val="24"/>
            <w:lang w:val="lt-LT" w:eastAsia="lt-LT"/>
          </w:rPr>
          <w:t>(ES) Nr. 651/2014</w:t>
        </w:r>
      </w:hyperlink>
      <w:r w:rsidRPr="009E400B">
        <w:rPr>
          <w:bCs/>
          <w:noProof w:val="0"/>
          <w:szCs w:val="24"/>
          <w:lang w:val="lt-LT" w:eastAsia="lt-LT"/>
        </w:rPr>
        <w:t xml:space="preserve"> I priedo 1 straipsnyje.</w:t>
      </w:r>
    </w:p>
    <w:p w14:paraId="2599A263" w14:textId="77777777" w:rsidR="00FD0F80" w:rsidRPr="00BB571F" w:rsidRDefault="00FD0F80" w:rsidP="00FD0F80">
      <w:pPr>
        <w:ind w:firstLine="720"/>
        <w:jc w:val="both"/>
        <w:rPr>
          <w:bCs/>
          <w:noProof w:val="0"/>
          <w:szCs w:val="24"/>
          <w:lang w:val="lt-LT" w:eastAsia="lt-LT"/>
        </w:rPr>
      </w:pPr>
      <w:r w:rsidRPr="00BB571F">
        <w:rPr>
          <w:bCs/>
          <w:noProof w:val="0"/>
          <w:szCs w:val="24"/>
          <w:lang w:val="lt-LT" w:eastAsia="lt-LT"/>
        </w:rPr>
        <w:t xml:space="preserve">7. Pareiškėjui nėra taikomas apribojimas (iki 5 metų) neskirti Europos Sąjungos finansinės paramos dėl trečiųjų šalių piliečių nelegalaus įdarbinimo, kaip nustatyta Lietuvos Respublikos užimtumo įstatymo 56 straipsnio 1 dalies 2 punkte ir 5 dalies 2 punkte </w:t>
      </w:r>
      <w:r w:rsidRPr="00BB571F">
        <w:rPr>
          <w:bCs/>
          <w:i/>
          <w:iCs/>
          <w:noProof w:val="0"/>
          <w:szCs w:val="24"/>
          <w:lang w:val="lt-LT" w:eastAsia="lt-LT"/>
        </w:rPr>
        <w:t>(netaikoma viešiesiems juridiniams asmenims)</w:t>
      </w:r>
      <w:r w:rsidRPr="00BB571F">
        <w:rPr>
          <w:bCs/>
          <w:noProof w:val="0"/>
          <w:szCs w:val="24"/>
          <w:lang w:val="lt-LT" w:eastAsia="lt-LT"/>
        </w:rPr>
        <w:t>.</w:t>
      </w:r>
    </w:p>
    <w:p w14:paraId="11F77EB8" w14:textId="77777777" w:rsidR="00FD0F80" w:rsidRPr="00BB571F" w:rsidRDefault="00FD0F80" w:rsidP="00FD0F80">
      <w:pPr>
        <w:ind w:firstLine="720"/>
        <w:jc w:val="both"/>
        <w:rPr>
          <w:bCs/>
          <w:noProof w:val="0"/>
          <w:szCs w:val="24"/>
          <w:lang w:val="lt-LT" w:eastAsia="lt-LT"/>
        </w:rPr>
      </w:pPr>
      <w:r w:rsidRPr="00BB571F">
        <w:rPr>
          <w:noProof w:val="0"/>
          <w:szCs w:val="24"/>
          <w:lang w:val="lt-LT" w:eastAsia="lt-LT"/>
        </w:rPr>
        <w:t>8. Pareiškėjas Juridinių asmenų registrui yra pateikęs metinių finansinių ataskaitų rinkinius, taip pat metinių konsoliduotųjų finansinių ataskaitų rinkinius, kaip nustatyta Juridinių asmenų registro nuostatuose, patvirtintuose Lietuvos Respublikos Vyriausybės 2003 m. lapkričio 12 d. nutarimu Nr. 1407 „Dėl Juridinių asmenų registro įsteigimo ir Juridinių asmenų registro nuostatų patvirtinimo“ (</w:t>
      </w:r>
      <w:r w:rsidRPr="00BB571F">
        <w:rPr>
          <w:i/>
          <w:noProof w:val="0"/>
          <w:szCs w:val="24"/>
          <w:lang w:val="lt-LT" w:eastAsia="lt-LT"/>
        </w:rPr>
        <w:t>netaikoma biudžetinėms įstaigoms)</w:t>
      </w:r>
      <w:r w:rsidRPr="00BB571F">
        <w:rPr>
          <w:noProof w:val="0"/>
          <w:szCs w:val="24"/>
          <w:lang w:val="lt-LT" w:eastAsia="lt-LT"/>
        </w:rPr>
        <w:t>.</w:t>
      </w:r>
    </w:p>
    <w:p w14:paraId="5EC508A5" w14:textId="77777777" w:rsidR="00FD0F80" w:rsidRPr="00BB571F" w:rsidRDefault="00FD0F80" w:rsidP="00FD0F80">
      <w:pPr>
        <w:jc w:val="both"/>
        <w:rPr>
          <w:bCs/>
          <w:noProof w:val="0"/>
          <w:szCs w:val="24"/>
          <w:lang w:val="lt-LT" w:eastAsia="lt-LT"/>
        </w:rPr>
      </w:pPr>
    </w:p>
    <w:p w14:paraId="47E99DCC" w14:textId="77777777" w:rsidR="00FD0F80" w:rsidRPr="00BB571F" w:rsidRDefault="00FD0F80" w:rsidP="00FD0F80">
      <w:pPr>
        <w:jc w:val="both"/>
        <w:rPr>
          <w:bCs/>
          <w:noProof w:val="0"/>
          <w:szCs w:val="24"/>
          <w:lang w:val="lt-LT" w:eastAsia="lt-LT"/>
        </w:rPr>
      </w:pPr>
    </w:p>
    <w:p w14:paraId="68577E9D" w14:textId="77777777" w:rsidR="00FD0F80" w:rsidRPr="00BB571F" w:rsidRDefault="00FD0F80" w:rsidP="00FD0F80">
      <w:pPr>
        <w:ind w:firstLine="720"/>
        <w:jc w:val="both"/>
        <w:rPr>
          <w:bCs/>
          <w:noProof w:val="0"/>
          <w:szCs w:val="24"/>
          <w:lang w:val="lt-LT" w:eastAsia="lt-LT"/>
        </w:rPr>
      </w:pPr>
      <w:r w:rsidRPr="00BB571F">
        <w:rPr>
          <w:bCs/>
          <w:noProof w:val="0"/>
          <w:szCs w:val="24"/>
          <w:lang w:val="lt-LT" w:eastAsia="lt-LT"/>
        </w:rPr>
        <w:t>Patvirtinu, kad deklaracijoje pateikta informacija yra teisinga ir išsami, įsipareigoju nedelsdamas (-a) informuoti apie bet kokius jos pasikeitimus ir Savivaldybės ar kitų institucijų prašymu pateikti deklaracijoje nurodytą atitiktį pagrindžiančius dokumentus.</w:t>
      </w:r>
    </w:p>
    <w:p w14:paraId="7FA12F43" w14:textId="77777777" w:rsidR="00FD0F80" w:rsidRPr="00BB571F" w:rsidRDefault="00FD0F80" w:rsidP="00FD0F80">
      <w:pPr>
        <w:jc w:val="both"/>
        <w:rPr>
          <w:bCs/>
          <w:noProof w:val="0"/>
          <w:szCs w:val="24"/>
          <w:lang w:val="lt-LT" w:eastAsia="lt-LT"/>
        </w:rPr>
      </w:pPr>
    </w:p>
    <w:p w14:paraId="659F228F" w14:textId="77777777" w:rsidR="00FD0F80" w:rsidRPr="00BB571F" w:rsidRDefault="00FD0F80" w:rsidP="00FD0F80">
      <w:pPr>
        <w:jc w:val="both"/>
        <w:rPr>
          <w:bCs/>
          <w:noProof w:val="0"/>
          <w:szCs w:val="24"/>
          <w:lang w:val="lt-LT" w:eastAsia="lt-LT"/>
        </w:rPr>
      </w:pPr>
    </w:p>
    <w:p w14:paraId="24FDC6A8" w14:textId="77777777" w:rsidR="00FD0F80" w:rsidRPr="00BB571F" w:rsidRDefault="00FD0F80" w:rsidP="00FD0F80">
      <w:pPr>
        <w:jc w:val="both"/>
        <w:rPr>
          <w:bCs/>
          <w:noProof w:val="0"/>
          <w:szCs w:val="24"/>
          <w:lang w:val="lt-LT" w:eastAsia="lt-LT"/>
        </w:rPr>
      </w:pPr>
      <w:r w:rsidRPr="00BB571F">
        <w:rPr>
          <w:bCs/>
          <w:noProof w:val="0"/>
          <w:szCs w:val="24"/>
          <w:lang w:val="lt-LT" w:eastAsia="lt-LT"/>
        </w:rPr>
        <w:t>________________________</w:t>
      </w:r>
      <w:r w:rsidRPr="00BB571F">
        <w:rPr>
          <w:bCs/>
          <w:noProof w:val="0"/>
          <w:szCs w:val="24"/>
          <w:lang w:val="lt-LT" w:eastAsia="lt-LT"/>
        </w:rPr>
        <w:tab/>
        <w:t>___________</w:t>
      </w:r>
      <w:r w:rsidRPr="00BB571F">
        <w:rPr>
          <w:bCs/>
          <w:noProof w:val="0"/>
          <w:szCs w:val="24"/>
          <w:lang w:val="lt-LT" w:eastAsia="lt-LT"/>
        </w:rPr>
        <w:tab/>
        <w:t>____________________</w:t>
      </w:r>
    </w:p>
    <w:p w14:paraId="36BAD46D" w14:textId="77777777" w:rsidR="00FD0F80" w:rsidRPr="00BB571F" w:rsidRDefault="00FD0F80" w:rsidP="00FD0F80">
      <w:pPr>
        <w:jc w:val="both"/>
        <w:rPr>
          <w:bCs/>
          <w:noProof w:val="0"/>
          <w:sz w:val="20"/>
          <w:lang w:val="lt-LT" w:eastAsia="lt-LT"/>
        </w:rPr>
      </w:pPr>
      <w:r w:rsidRPr="00BB571F">
        <w:rPr>
          <w:bCs/>
          <w:noProof w:val="0"/>
          <w:sz w:val="20"/>
          <w:lang w:val="lt-LT" w:eastAsia="lt-LT"/>
        </w:rPr>
        <w:t>(pareiškėjo vadovo ar jo</w:t>
      </w:r>
      <w:r w:rsidRPr="00BB571F">
        <w:rPr>
          <w:bCs/>
          <w:noProof w:val="0"/>
          <w:sz w:val="20"/>
          <w:lang w:val="lt-LT" w:eastAsia="lt-LT"/>
        </w:rPr>
        <w:tab/>
      </w:r>
      <w:r>
        <w:rPr>
          <w:bCs/>
          <w:noProof w:val="0"/>
          <w:sz w:val="20"/>
          <w:lang w:val="lt-LT" w:eastAsia="lt-LT"/>
        </w:rPr>
        <w:tab/>
      </w:r>
      <w:r w:rsidRPr="00BB571F">
        <w:rPr>
          <w:bCs/>
          <w:noProof w:val="0"/>
          <w:sz w:val="20"/>
          <w:lang w:val="lt-LT" w:eastAsia="lt-LT"/>
        </w:rPr>
        <w:t xml:space="preserve">     </w:t>
      </w:r>
      <w:r>
        <w:rPr>
          <w:bCs/>
          <w:noProof w:val="0"/>
          <w:sz w:val="20"/>
          <w:lang w:val="lt-LT" w:eastAsia="lt-LT"/>
        </w:rPr>
        <w:t xml:space="preserve"> </w:t>
      </w:r>
      <w:r w:rsidRPr="00BB571F">
        <w:rPr>
          <w:bCs/>
          <w:noProof w:val="0"/>
          <w:sz w:val="20"/>
          <w:lang w:val="lt-LT" w:eastAsia="lt-LT"/>
        </w:rPr>
        <w:t>(parašas)</w:t>
      </w:r>
      <w:r w:rsidRPr="00BB571F">
        <w:rPr>
          <w:bCs/>
          <w:noProof w:val="0"/>
          <w:sz w:val="20"/>
          <w:lang w:val="lt-LT" w:eastAsia="lt-LT"/>
        </w:rPr>
        <w:tab/>
      </w:r>
      <w:r>
        <w:rPr>
          <w:bCs/>
          <w:noProof w:val="0"/>
          <w:sz w:val="20"/>
          <w:lang w:val="lt-LT" w:eastAsia="lt-LT"/>
        </w:rPr>
        <w:tab/>
      </w:r>
      <w:r w:rsidRPr="00BB571F">
        <w:rPr>
          <w:bCs/>
          <w:noProof w:val="0"/>
          <w:sz w:val="20"/>
          <w:lang w:val="lt-LT" w:eastAsia="lt-LT"/>
        </w:rPr>
        <w:t xml:space="preserve">         (vardas ir pavardė)</w:t>
      </w:r>
    </w:p>
    <w:p w14:paraId="387438AF" w14:textId="77777777" w:rsidR="00FD0F80" w:rsidRPr="00BB571F" w:rsidRDefault="00FD0F80" w:rsidP="00FD0F80">
      <w:pPr>
        <w:jc w:val="both"/>
        <w:rPr>
          <w:bCs/>
          <w:noProof w:val="0"/>
          <w:sz w:val="20"/>
          <w:lang w:val="lt-LT" w:eastAsia="lt-LT"/>
        </w:rPr>
      </w:pPr>
      <w:r w:rsidRPr="00BB571F">
        <w:rPr>
          <w:bCs/>
          <w:noProof w:val="0"/>
          <w:sz w:val="20"/>
          <w:lang w:val="lt-LT" w:eastAsia="lt-LT"/>
        </w:rPr>
        <w:t>įgalioto asmens pareigų pavadinimas)</w:t>
      </w:r>
    </w:p>
    <w:p w14:paraId="5DAF584E" w14:textId="77777777" w:rsidR="00FD0F80" w:rsidRDefault="00FD0F80" w:rsidP="00FD0F80">
      <w:pPr>
        <w:jc w:val="both"/>
        <w:rPr>
          <w:bCs/>
          <w:noProof w:val="0"/>
          <w:szCs w:val="24"/>
          <w:lang w:val="lt-LT" w:eastAsia="lt-LT"/>
        </w:rPr>
      </w:pPr>
    </w:p>
    <w:p w14:paraId="2ADB9429" w14:textId="77777777" w:rsidR="00FD0F80" w:rsidRDefault="00FD0F80" w:rsidP="00FD0F80">
      <w:pPr>
        <w:jc w:val="both"/>
        <w:rPr>
          <w:bCs/>
          <w:noProof w:val="0"/>
          <w:szCs w:val="24"/>
          <w:lang w:val="lt-LT" w:eastAsia="lt-LT"/>
        </w:rPr>
      </w:pPr>
    </w:p>
    <w:p w14:paraId="44CFAAFB" w14:textId="77777777" w:rsidR="00FD0F80" w:rsidRDefault="00FD0F80" w:rsidP="00FD0F80">
      <w:pPr>
        <w:jc w:val="both"/>
        <w:rPr>
          <w:bCs/>
          <w:noProof w:val="0"/>
          <w:szCs w:val="24"/>
          <w:lang w:val="lt-LT" w:eastAsia="lt-LT"/>
        </w:rPr>
      </w:pPr>
    </w:p>
    <w:p w14:paraId="6DDF40F6" w14:textId="77777777" w:rsidR="00FD0F80" w:rsidRDefault="00FD0F80" w:rsidP="00FD0F80">
      <w:pPr>
        <w:jc w:val="both"/>
        <w:rPr>
          <w:bCs/>
          <w:noProof w:val="0"/>
          <w:szCs w:val="24"/>
          <w:lang w:val="lt-LT" w:eastAsia="lt-LT"/>
        </w:rPr>
      </w:pPr>
    </w:p>
    <w:p w14:paraId="28CC1F25" w14:textId="77777777" w:rsidR="00FD0F80" w:rsidRDefault="00FD0F80" w:rsidP="00FD0F80">
      <w:pPr>
        <w:jc w:val="both"/>
        <w:rPr>
          <w:bCs/>
          <w:noProof w:val="0"/>
          <w:szCs w:val="24"/>
          <w:lang w:val="lt-LT" w:eastAsia="lt-LT"/>
        </w:rPr>
      </w:pPr>
    </w:p>
    <w:p w14:paraId="39D398FF" w14:textId="77777777" w:rsidR="00FD0F80" w:rsidRPr="00BB571F" w:rsidRDefault="00FD0F80" w:rsidP="00FD0F80">
      <w:pPr>
        <w:jc w:val="both"/>
        <w:rPr>
          <w:bCs/>
          <w:noProof w:val="0"/>
          <w:szCs w:val="24"/>
          <w:lang w:val="lt-LT" w:eastAsia="lt-LT"/>
        </w:rPr>
      </w:pPr>
    </w:p>
    <w:p w14:paraId="6DA8B905" w14:textId="3AB45AAE" w:rsidR="00D902C8" w:rsidRPr="00FD0F80" w:rsidRDefault="00FD0F80" w:rsidP="00FD0F80">
      <w:pPr>
        <w:jc w:val="both"/>
        <w:rPr>
          <w:bCs/>
          <w:noProof w:val="0"/>
          <w:sz w:val="20"/>
          <w:lang w:val="lt-LT" w:eastAsia="lt-LT"/>
        </w:rPr>
      </w:pPr>
      <w:r w:rsidRPr="00BB571F">
        <w:rPr>
          <w:bCs/>
          <w:noProof w:val="0"/>
          <w:sz w:val="20"/>
          <w:lang w:val="lt-LT" w:eastAsia="lt-LT"/>
        </w:rPr>
        <w:t>*</w:t>
      </w:r>
      <w:r w:rsidRPr="00BB571F">
        <w:rPr>
          <w:noProof w:val="0"/>
          <w:sz w:val="20"/>
          <w:lang w:val="lt-LT" w:eastAsia="lt-LT"/>
        </w:rPr>
        <w:t xml:space="preserve"> </w:t>
      </w:r>
      <w:r w:rsidRPr="00BB571F">
        <w:rPr>
          <w:bCs/>
          <w:noProof w:val="0"/>
          <w:sz w:val="20"/>
          <w:lang w:val="lt-LT" w:eastAsia="lt-LT"/>
        </w:rPr>
        <w:t>Jeigu tam tikri šioje deklaracijoje nurodyti reikalavimai pagal savo pobūdį pareiškėjui netaikomi (pvz., biudžetinėms įstaigoms), laikoma, kad šie reikalavimai pareiškėjui netaikomi ir jų atskirai pagrįsti nereikia.</w:t>
      </w:r>
    </w:p>
    <w:sectPr w:rsidR="00D902C8" w:rsidRPr="00FD0F80" w:rsidSect="006E78F6">
      <w:pgSz w:w="11906" w:h="16838" w:code="9"/>
      <w:pgMar w:top="1134" w:right="567" w:bottom="1134" w:left="1701" w:header="567" w:footer="567"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1296"/>
  <w:hyphenationZone w:val="396"/>
  <w:drawingGridHorizontalSpacing w:val="120"/>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59E"/>
    <w:rsid w:val="00060F19"/>
    <w:rsid w:val="000F3E9B"/>
    <w:rsid w:val="00371FE2"/>
    <w:rsid w:val="006E78F6"/>
    <w:rsid w:val="00CD259E"/>
    <w:rsid w:val="00D041A6"/>
    <w:rsid w:val="00D902C8"/>
    <w:rsid w:val="00FD0F8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77336A"/>
  <w15:chartTrackingRefBased/>
  <w15:docId w15:val="{9127B29F-0CD2-4B77-99BA-75948E9E0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D0F80"/>
    <w:pPr>
      <w:spacing w:after="0" w:line="240" w:lineRule="auto"/>
    </w:pPr>
    <w:rPr>
      <w:rFonts w:ascii="Times New Roman" w:eastAsia="Times New Roman" w:hAnsi="Times New Roman" w:cs="Times New Roman"/>
      <w:noProof/>
      <w:kern w:val="0"/>
      <w:sz w:val="24"/>
      <w:szCs w:val="20"/>
      <w:lang w:val="en-GB"/>
      <w14:ligatures w14:val="none"/>
    </w:rPr>
  </w:style>
  <w:style w:type="paragraph" w:styleId="Antrat1">
    <w:name w:val="heading 1"/>
    <w:basedOn w:val="prastasis"/>
    <w:next w:val="prastasis"/>
    <w:link w:val="Antrat1Diagrama"/>
    <w:uiPriority w:val="9"/>
    <w:qFormat/>
    <w:rsid w:val="00CD259E"/>
    <w:pPr>
      <w:keepNext/>
      <w:keepLines/>
      <w:spacing w:before="360" w:after="80" w:line="259" w:lineRule="auto"/>
      <w:outlineLvl w:val="0"/>
    </w:pPr>
    <w:rPr>
      <w:rFonts w:asciiTheme="majorHAnsi" w:eastAsiaTheme="majorEastAsia" w:hAnsiTheme="majorHAnsi" w:cstheme="majorBidi"/>
      <w:noProof w:val="0"/>
      <w:color w:val="2F5496" w:themeColor="accent1" w:themeShade="BF"/>
      <w:kern w:val="2"/>
      <w:sz w:val="40"/>
      <w:szCs w:val="40"/>
      <w:lang w:val="lt-LT"/>
      <w14:ligatures w14:val="standardContextual"/>
    </w:rPr>
  </w:style>
  <w:style w:type="paragraph" w:styleId="Antrat2">
    <w:name w:val="heading 2"/>
    <w:basedOn w:val="prastasis"/>
    <w:next w:val="prastasis"/>
    <w:link w:val="Antrat2Diagrama"/>
    <w:uiPriority w:val="9"/>
    <w:semiHidden/>
    <w:unhideWhenUsed/>
    <w:qFormat/>
    <w:rsid w:val="00CD259E"/>
    <w:pPr>
      <w:keepNext/>
      <w:keepLines/>
      <w:spacing w:before="160" w:after="80" w:line="259" w:lineRule="auto"/>
      <w:outlineLvl w:val="1"/>
    </w:pPr>
    <w:rPr>
      <w:rFonts w:asciiTheme="majorHAnsi" w:eastAsiaTheme="majorEastAsia" w:hAnsiTheme="majorHAnsi" w:cstheme="majorBidi"/>
      <w:noProof w:val="0"/>
      <w:color w:val="2F5496" w:themeColor="accent1" w:themeShade="BF"/>
      <w:kern w:val="2"/>
      <w:sz w:val="32"/>
      <w:szCs w:val="32"/>
      <w:lang w:val="lt-LT"/>
      <w14:ligatures w14:val="standardContextual"/>
    </w:rPr>
  </w:style>
  <w:style w:type="paragraph" w:styleId="Antrat3">
    <w:name w:val="heading 3"/>
    <w:basedOn w:val="prastasis"/>
    <w:next w:val="prastasis"/>
    <w:link w:val="Antrat3Diagrama"/>
    <w:uiPriority w:val="9"/>
    <w:semiHidden/>
    <w:unhideWhenUsed/>
    <w:qFormat/>
    <w:rsid w:val="00CD259E"/>
    <w:pPr>
      <w:keepNext/>
      <w:keepLines/>
      <w:spacing w:before="160" w:after="80" w:line="259" w:lineRule="auto"/>
      <w:outlineLvl w:val="2"/>
    </w:pPr>
    <w:rPr>
      <w:rFonts w:asciiTheme="minorHAnsi" w:eastAsiaTheme="majorEastAsia" w:hAnsiTheme="minorHAnsi" w:cstheme="majorBidi"/>
      <w:noProof w:val="0"/>
      <w:color w:val="2F5496" w:themeColor="accent1" w:themeShade="BF"/>
      <w:kern w:val="2"/>
      <w:sz w:val="28"/>
      <w:szCs w:val="28"/>
      <w:lang w:val="lt-LT"/>
      <w14:ligatures w14:val="standardContextual"/>
    </w:rPr>
  </w:style>
  <w:style w:type="paragraph" w:styleId="Antrat4">
    <w:name w:val="heading 4"/>
    <w:basedOn w:val="prastasis"/>
    <w:next w:val="prastasis"/>
    <w:link w:val="Antrat4Diagrama"/>
    <w:uiPriority w:val="9"/>
    <w:semiHidden/>
    <w:unhideWhenUsed/>
    <w:qFormat/>
    <w:rsid w:val="00CD259E"/>
    <w:pPr>
      <w:keepNext/>
      <w:keepLines/>
      <w:spacing w:before="80" w:after="40" w:line="259" w:lineRule="auto"/>
      <w:outlineLvl w:val="3"/>
    </w:pPr>
    <w:rPr>
      <w:rFonts w:asciiTheme="minorHAnsi" w:eastAsiaTheme="majorEastAsia" w:hAnsiTheme="minorHAnsi" w:cstheme="majorBidi"/>
      <w:i/>
      <w:iCs/>
      <w:noProof w:val="0"/>
      <w:color w:val="2F5496" w:themeColor="accent1" w:themeShade="BF"/>
      <w:kern w:val="2"/>
      <w:sz w:val="22"/>
      <w:szCs w:val="22"/>
      <w:lang w:val="lt-LT"/>
      <w14:ligatures w14:val="standardContextual"/>
    </w:rPr>
  </w:style>
  <w:style w:type="paragraph" w:styleId="Antrat5">
    <w:name w:val="heading 5"/>
    <w:basedOn w:val="prastasis"/>
    <w:next w:val="prastasis"/>
    <w:link w:val="Antrat5Diagrama"/>
    <w:uiPriority w:val="9"/>
    <w:semiHidden/>
    <w:unhideWhenUsed/>
    <w:qFormat/>
    <w:rsid w:val="00CD259E"/>
    <w:pPr>
      <w:keepNext/>
      <w:keepLines/>
      <w:spacing w:before="80" w:after="40" w:line="259" w:lineRule="auto"/>
      <w:outlineLvl w:val="4"/>
    </w:pPr>
    <w:rPr>
      <w:rFonts w:asciiTheme="minorHAnsi" w:eastAsiaTheme="majorEastAsia" w:hAnsiTheme="minorHAnsi" w:cstheme="majorBidi"/>
      <w:noProof w:val="0"/>
      <w:color w:val="2F5496" w:themeColor="accent1" w:themeShade="BF"/>
      <w:kern w:val="2"/>
      <w:sz w:val="22"/>
      <w:szCs w:val="22"/>
      <w:lang w:val="lt-LT"/>
      <w14:ligatures w14:val="standardContextual"/>
    </w:rPr>
  </w:style>
  <w:style w:type="paragraph" w:styleId="Antrat6">
    <w:name w:val="heading 6"/>
    <w:basedOn w:val="prastasis"/>
    <w:next w:val="prastasis"/>
    <w:link w:val="Antrat6Diagrama"/>
    <w:uiPriority w:val="9"/>
    <w:semiHidden/>
    <w:unhideWhenUsed/>
    <w:qFormat/>
    <w:rsid w:val="00CD259E"/>
    <w:pPr>
      <w:keepNext/>
      <w:keepLines/>
      <w:spacing w:before="40" w:line="259" w:lineRule="auto"/>
      <w:outlineLvl w:val="5"/>
    </w:pPr>
    <w:rPr>
      <w:rFonts w:asciiTheme="minorHAnsi" w:eastAsiaTheme="majorEastAsia" w:hAnsiTheme="minorHAnsi" w:cstheme="majorBidi"/>
      <w:i/>
      <w:iCs/>
      <w:noProof w:val="0"/>
      <w:color w:val="595959" w:themeColor="text1" w:themeTint="A6"/>
      <w:kern w:val="2"/>
      <w:sz w:val="22"/>
      <w:szCs w:val="22"/>
      <w:lang w:val="lt-LT"/>
      <w14:ligatures w14:val="standardContextual"/>
    </w:rPr>
  </w:style>
  <w:style w:type="paragraph" w:styleId="Antrat7">
    <w:name w:val="heading 7"/>
    <w:basedOn w:val="prastasis"/>
    <w:next w:val="prastasis"/>
    <w:link w:val="Antrat7Diagrama"/>
    <w:uiPriority w:val="9"/>
    <w:semiHidden/>
    <w:unhideWhenUsed/>
    <w:qFormat/>
    <w:rsid w:val="00CD259E"/>
    <w:pPr>
      <w:keepNext/>
      <w:keepLines/>
      <w:spacing w:before="40" w:line="259" w:lineRule="auto"/>
      <w:outlineLvl w:val="6"/>
    </w:pPr>
    <w:rPr>
      <w:rFonts w:asciiTheme="minorHAnsi" w:eastAsiaTheme="majorEastAsia" w:hAnsiTheme="minorHAnsi" w:cstheme="majorBidi"/>
      <w:noProof w:val="0"/>
      <w:color w:val="595959" w:themeColor="text1" w:themeTint="A6"/>
      <w:kern w:val="2"/>
      <w:sz w:val="22"/>
      <w:szCs w:val="22"/>
      <w:lang w:val="lt-LT"/>
      <w14:ligatures w14:val="standardContextual"/>
    </w:rPr>
  </w:style>
  <w:style w:type="paragraph" w:styleId="Antrat8">
    <w:name w:val="heading 8"/>
    <w:basedOn w:val="prastasis"/>
    <w:next w:val="prastasis"/>
    <w:link w:val="Antrat8Diagrama"/>
    <w:uiPriority w:val="9"/>
    <w:semiHidden/>
    <w:unhideWhenUsed/>
    <w:qFormat/>
    <w:rsid w:val="00CD259E"/>
    <w:pPr>
      <w:keepNext/>
      <w:keepLines/>
      <w:spacing w:line="259" w:lineRule="auto"/>
      <w:outlineLvl w:val="7"/>
    </w:pPr>
    <w:rPr>
      <w:rFonts w:asciiTheme="minorHAnsi" w:eastAsiaTheme="majorEastAsia" w:hAnsiTheme="minorHAnsi" w:cstheme="majorBidi"/>
      <w:i/>
      <w:iCs/>
      <w:noProof w:val="0"/>
      <w:color w:val="272727" w:themeColor="text1" w:themeTint="D8"/>
      <w:kern w:val="2"/>
      <w:sz w:val="22"/>
      <w:szCs w:val="22"/>
      <w:lang w:val="lt-LT"/>
      <w14:ligatures w14:val="standardContextual"/>
    </w:rPr>
  </w:style>
  <w:style w:type="paragraph" w:styleId="Antrat9">
    <w:name w:val="heading 9"/>
    <w:basedOn w:val="prastasis"/>
    <w:next w:val="prastasis"/>
    <w:link w:val="Antrat9Diagrama"/>
    <w:uiPriority w:val="9"/>
    <w:semiHidden/>
    <w:unhideWhenUsed/>
    <w:qFormat/>
    <w:rsid w:val="00CD259E"/>
    <w:pPr>
      <w:keepNext/>
      <w:keepLines/>
      <w:spacing w:line="259" w:lineRule="auto"/>
      <w:outlineLvl w:val="8"/>
    </w:pPr>
    <w:rPr>
      <w:rFonts w:asciiTheme="minorHAnsi" w:eastAsiaTheme="majorEastAsia" w:hAnsiTheme="minorHAnsi" w:cstheme="majorBidi"/>
      <w:noProof w:val="0"/>
      <w:color w:val="272727" w:themeColor="text1" w:themeTint="D8"/>
      <w:kern w:val="2"/>
      <w:sz w:val="22"/>
      <w:szCs w:val="22"/>
      <w:lang w:val="lt-LT"/>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CD259E"/>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CD259E"/>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CD259E"/>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CD259E"/>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CD259E"/>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CD259E"/>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CD259E"/>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CD259E"/>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CD259E"/>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CD259E"/>
    <w:pPr>
      <w:spacing w:after="80"/>
      <w:contextualSpacing/>
    </w:pPr>
    <w:rPr>
      <w:rFonts w:asciiTheme="majorHAnsi" w:eastAsiaTheme="majorEastAsia" w:hAnsiTheme="majorHAnsi" w:cstheme="majorBidi"/>
      <w:noProof w:val="0"/>
      <w:spacing w:val="-10"/>
      <w:kern w:val="28"/>
      <w:sz w:val="56"/>
      <w:szCs w:val="56"/>
      <w:lang w:val="lt-LT"/>
      <w14:ligatures w14:val="standardContextual"/>
    </w:rPr>
  </w:style>
  <w:style w:type="character" w:customStyle="1" w:styleId="PavadinimasDiagrama">
    <w:name w:val="Pavadinimas Diagrama"/>
    <w:basedOn w:val="Numatytasispastraiposriftas"/>
    <w:link w:val="Pavadinimas"/>
    <w:uiPriority w:val="10"/>
    <w:rsid w:val="00CD259E"/>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CD259E"/>
    <w:pPr>
      <w:numPr>
        <w:ilvl w:val="1"/>
      </w:numPr>
      <w:spacing w:after="160" w:line="259" w:lineRule="auto"/>
    </w:pPr>
    <w:rPr>
      <w:rFonts w:asciiTheme="minorHAnsi" w:eastAsiaTheme="majorEastAsia" w:hAnsiTheme="minorHAnsi" w:cstheme="majorBidi"/>
      <w:noProof w:val="0"/>
      <w:color w:val="595959" w:themeColor="text1" w:themeTint="A6"/>
      <w:spacing w:val="15"/>
      <w:kern w:val="2"/>
      <w:sz w:val="28"/>
      <w:szCs w:val="28"/>
      <w:lang w:val="lt-LT"/>
      <w14:ligatures w14:val="standardContextual"/>
    </w:rPr>
  </w:style>
  <w:style w:type="character" w:customStyle="1" w:styleId="PaantratDiagrama">
    <w:name w:val="Paantraštė Diagrama"/>
    <w:basedOn w:val="Numatytasispastraiposriftas"/>
    <w:link w:val="Paantrat"/>
    <w:uiPriority w:val="11"/>
    <w:rsid w:val="00CD259E"/>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CD259E"/>
    <w:pPr>
      <w:spacing w:before="160" w:after="160" w:line="259" w:lineRule="auto"/>
      <w:jc w:val="center"/>
    </w:pPr>
    <w:rPr>
      <w:rFonts w:asciiTheme="minorHAnsi" w:eastAsiaTheme="minorHAnsi" w:hAnsiTheme="minorHAnsi" w:cstheme="minorBidi"/>
      <w:i/>
      <w:iCs/>
      <w:noProof w:val="0"/>
      <w:color w:val="404040" w:themeColor="text1" w:themeTint="BF"/>
      <w:kern w:val="2"/>
      <w:sz w:val="22"/>
      <w:szCs w:val="22"/>
      <w:lang w:val="lt-LT"/>
      <w14:ligatures w14:val="standardContextual"/>
    </w:rPr>
  </w:style>
  <w:style w:type="character" w:customStyle="1" w:styleId="CitataDiagrama">
    <w:name w:val="Citata Diagrama"/>
    <w:basedOn w:val="Numatytasispastraiposriftas"/>
    <w:link w:val="Citata"/>
    <w:uiPriority w:val="29"/>
    <w:rsid w:val="00CD259E"/>
    <w:rPr>
      <w:i/>
      <w:iCs/>
      <w:color w:val="404040" w:themeColor="text1" w:themeTint="BF"/>
    </w:rPr>
  </w:style>
  <w:style w:type="paragraph" w:styleId="Sraopastraipa">
    <w:name w:val="List Paragraph"/>
    <w:basedOn w:val="prastasis"/>
    <w:uiPriority w:val="34"/>
    <w:qFormat/>
    <w:rsid w:val="00CD259E"/>
    <w:pPr>
      <w:spacing w:after="160" w:line="259" w:lineRule="auto"/>
      <w:ind w:left="720"/>
      <w:contextualSpacing/>
    </w:pPr>
    <w:rPr>
      <w:rFonts w:asciiTheme="minorHAnsi" w:eastAsiaTheme="minorHAnsi" w:hAnsiTheme="minorHAnsi" w:cstheme="minorBidi"/>
      <w:noProof w:val="0"/>
      <w:kern w:val="2"/>
      <w:sz w:val="22"/>
      <w:szCs w:val="22"/>
      <w:lang w:val="lt-LT"/>
      <w14:ligatures w14:val="standardContextual"/>
    </w:rPr>
  </w:style>
  <w:style w:type="character" w:styleId="Rykuspabraukimas">
    <w:name w:val="Intense Emphasis"/>
    <w:basedOn w:val="Numatytasispastraiposriftas"/>
    <w:uiPriority w:val="21"/>
    <w:qFormat/>
    <w:rsid w:val="00CD259E"/>
    <w:rPr>
      <w:i/>
      <w:iCs/>
      <w:color w:val="2F5496" w:themeColor="accent1" w:themeShade="BF"/>
    </w:rPr>
  </w:style>
  <w:style w:type="paragraph" w:styleId="Iskirtacitata">
    <w:name w:val="Intense Quote"/>
    <w:basedOn w:val="prastasis"/>
    <w:next w:val="prastasis"/>
    <w:link w:val="IskirtacitataDiagrama"/>
    <w:uiPriority w:val="30"/>
    <w:qFormat/>
    <w:rsid w:val="00CD259E"/>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noProof w:val="0"/>
      <w:color w:val="2F5496" w:themeColor="accent1" w:themeShade="BF"/>
      <w:kern w:val="2"/>
      <w:sz w:val="22"/>
      <w:szCs w:val="22"/>
      <w:lang w:val="lt-LT"/>
      <w14:ligatures w14:val="standardContextual"/>
    </w:rPr>
  </w:style>
  <w:style w:type="character" w:customStyle="1" w:styleId="IskirtacitataDiagrama">
    <w:name w:val="Išskirta citata Diagrama"/>
    <w:basedOn w:val="Numatytasispastraiposriftas"/>
    <w:link w:val="Iskirtacitata"/>
    <w:uiPriority w:val="30"/>
    <w:rsid w:val="00CD259E"/>
    <w:rPr>
      <w:i/>
      <w:iCs/>
      <w:color w:val="2F5496" w:themeColor="accent1" w:themeShade="BF"/>
    </w:rPr>
  </w:style>
  <w:style w:type="character" w:styleId="Rykinuoroda">
    <w:name w:val="Intense Reference"/>
    <w:basedOn w:val="Numatytasispastraiposriftas"/>
    <w:uiPriority w:val="32"/>
    <w:qFormat/>
    <w:rsid w:val="00CD259E"/>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eur-lex.europa.eu/legal-content/LIT/TXT/?uri=CELEX:32014R0651&amp;locale=l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eur-lex.europa.eu/legal-content/LIT/TXT/?uri=CELEX:32014R0651&amp;locale=lt" TargetMode="External"/><Relationship Id="rId5" Type="http://schemas.openxmlformats.org/officeDocument/2006/relationships/hyperlink" Target="http://eur-lex.europa.eu/legal-content/LIT/TXT/?uri=CELEX:32014R0651&amp;locale=lt" TargetMode="External"/><Relationship Id="rId4" Type="http://schemas.openxmlformats.org/officeDocument/2006/relationships/hyperlink" Target="http://eur-lex.europa.eu/legal-content/LIT/TXT/?uri=CELEX:32014R0651&amp;locale=lt"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6628</Words>
  <Characters>3779</Characters>
  <Application>Microsoft Office Word</Application>
  <DocSecurity>0</DocSecurity>
  <Lines>31</Lines>
  <Paragraphs>20</Paragraphs>
  <ScaleCrop>false</ScaleCrop>
  <Company/>
  <LinksUpToDate>false</LinksUpToDate>
  <CharactersWithSpaces>10387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 2</dc:creator>
  <cp:keywords/>
  <dc:description/>
  <cp:lastModifiedBy>Bendras 2</cp:lastModifiedBy>
  <cp:revision>2</cp:revision>
  <dcterms:created xsi:type="dcterms:W3CDTF">2026-05-13T06:07:00Z</dcterms:created>
  <dcterms:modified xsi:type="dcterms:W3CDTF">2026-05-13T06:07:00Z</dcterms:modified>
</cp:coreProperties>
</file>